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ADD" w:rsidRDefault="00344ADD" w:rsidP="00F70B12">
      <w:pPr>
        <w:spacing w:line="240" w:lineRule="atLeast"/>
        <w:jc w:val="center"/>
      </w:pPr>
      <w:r>
        <w:t>GUIDELINES FOR CLINICAL TRIALS OF DRUGS AND MEDICINAL PRODUCTS</w:t>
      </w:r>
    </w:p>
    <w:p w:rsidR="007F133F" w:rsidRPr="007F133F" w:rsidRDefault="009F2EA7" w:rsidP="00F70B12">
      <w:pPr>
        <w:spacing w:line="240" w:lineRule="atLeast"/>
        <w:rPr>
          <w:b/>
        </w:rPr>
      </w:pPr>
      <w:r>
        <w:rPr>
          <w:b/>
        </w:rPr>
        <w:t xml:space="preserve">Clinical trials of drugs are divided into 4 phases: </w:t>
      </w:r>
    </w:p>
    <w:p w:rsidR="007F133F" w:rsidRDefault="007F133F" w:rsidP="00F70B12">
      <w:pPr>
        <w:spacing w:line="240" w:lineRule="atLeast"/>
      </w:pPr>
      <w:r>
        <w:t xml:space="preserve">The first use of a newly discovered drug in humans is undertaken </w:t>
      </w:r>
      <w:r>
        <w:rPr>
          <w:b/>
        </w:rPr>
        <w:t>in phase 1.</w:t>
      </w:r>
      <w:r>
        <w:t xml:space="preserve"> In this phase the fate of the drug in the organism (pharmokinetics) is tried and tested, its compatibility is determined</w:t>
      </w:r>
      <w:r w:rsidR="00D37865">
        <w:t>, as well as</w:t>
      </w:r>
      <w:r>
        <w:t xml:space="preserve"> the metabolic and pharmacological effects of the drug </w:t>
      </w:r>
      <w:r w:rsidR="00D37865">
        <w:t xml:space="preserve">reported </w:t>
      </w:r>
      <w:r>
        <w:t>from testing on animals, and the dosage of the drug is determined. The researchers in this phase are as a rule clinical pharmacologists.</w:t>
      </w:r>
    </w:p>
    <w:p w:rsidR="007F133F" w:rsidRDefault="007F133F" w:rsidP="00F70B12">
      <w:pPr>
        <w:spacing w:line="240" w:lineRule="atLeast"/>
      </w:pPr>
      <w:r>
        <w:t>In phase 2 of clinical trials, the possible therapeutic effects of the drug being tested are determined. In that phase the drug is used for the first time on patients. Phase 2, especially its first part, 2b, is conducted in clinical pharmacology departments.</w:t>
      </w:r>
    </w:p>
    <w:p w:rsidR="0077287A" w:rsidRDefault="0077287A" w:rsidP="00F70B12">
      <w:pPr>
        <w:spacing w:line="240" w:lineRule="atLeast"/>
      </w:pPr>
      <w:r>
        <w:t>Clinical trial phase 3 precedes the registration of the drug, and is expected to provide answers to questions such as: the primary indications, the dosage and dosing regime, side effects, interaction with other drugs or food.</w:t>
      </w:r>
    </w:p>
    <w:p w:rsidR="0077287A" w:rsidRPr="00BD6E72" w:rsidRDefault="00BD6E72" w:rsidP="00F70B12">
      <w:pPr>
        <w:spacing w:line="240" w:lineRule="atLeast"/>
        <w:rPr>
          <w:b/>
        </w:rPr>
      </w:pPr>
      <w:r>
        <w:rPr>
          <w:b/>
        </w:rPr>
        <w:t>All clinical trials conducted for drugs already registered for a specific indication are part of phase 4 clinical trials.</w:t>
      </w:r>
    </w:p>
    <w:p w:rsidR="004C50D4" w:rsidRPr="009F2EA7" w:rsidRDefault="007F133F" w:rsidP="00F70B12">
      <w:pPr>
        <w:spacing w:line="240" w:lineRule="atLeast"/>
        <w:rPr>
          <w:b/>
        </w:rPr>
      </w:pPr>
      <w:r>
        <w:rPr>
          <w:b/>
        </w:rPr>
        <w:t>When registering your research which is in clinical phases 1, 2 3 or 4, please apply to the Central Ethics Committee, which is with the Agency for Drugs and Medicinal Products (</w:t>
      </w:r>
      <w:hyperlink r:id="rId5">
        <w:r>
          <w:rPr>
            <w:rStyle w:val="Hyperlink"/>
            <w:b/>
          </w:rPr>
          <w:t>http://www.halmed.hr/O-HALMED-u/Sredisnje-eticko-povjerenstvo-SEP/</w:t>
        </w:r>
      </w:hyperlink>
      <w:r>
        <w:rPr>
          <w:b/>
        </w:rPr>
        <w:t>) and study the following provisions of the Act on Drugs and Medical Products:</w:t>
      </w:r>
    </w:p>
    <w:p w:rsidR="004C50D4" w:rsidRDefault="004C50D4" w:rsidP="00F70B12">
      <w:pPr>
        <w:spacing w:line="240" w:lineRule="atLeast"/>
        <w:jc w:val="center"/>
      </w:pPr>
      <w:r>
        <w:t>2. CLINICAL TRIALS OF MEDICINAL PRODUCTS</w:t>
      </w:r>
    </w:p>
    <w:p w:rsidR="004C50D4" w:rsidRDefault="004C50D4" w:rsidP="00F70B12">
      <w:pPr>
        <w:spacing w:line="240" w:lineRule="atLeast"/>
        <w:jc w:val="center"/>
      </w:pPr>
      <w:r>
        <w:t>Article 10</w:t>
      </w:r>
    </w:p>
    <w:p w:rsidR="004C50D4" w:rsidRDefault="004C50D4" w:rsidP="00C00B6C">
      <w:pPr>
        <w:spacing w:line="240" w:lineRule="atLeast"/>
        <w:jc w:val="both"/>
      </w:pPr>
      <w:r>
        <w:t xml:space="preserve">Clinical trials of a medicinal product shall be conducted only in cases where the Central </w:t>
      </w:r>
      <w:r>
        <w:br/>
        <w:t xml:space="preserve">Ethics Committee and the ministry responsible for health (hereinafter the Ministry) assess that </w:t>
      </w:r>
      <w:r>
        <w:br/>
        <w:t xml:space="preserve">the expected benefits for an individual patient or other present or future patients outweigh the </w:t>
      </w:r>
      <w:r>
        <w:br/>
        <w:t>anticipated risks.</w:t>
      </w:r>
    </w:p>
    <w:p w:rsidR="004C50D4" w:rsidRDefault="004C50D4" w:rsidP="00F70B12">
      <w:pPr>
        <w:spacing w:line="240" w:lineRule="atLeast"/>
        <w:jc w:val="center"/>
      </w:pPr>
      <w:r>
        <w:t>Article 11</w:t>
      </w:r>
    </w:p>
    <w:p w:rsidR="004C50D4" w:rsidRDefault="004C50D4" w:rsidP="00C00B6C">
      <w:pPr>
        <w:spacing w:line="240" w:lineRule="atLeast"/>
        <w:jc w:val="both"/>
      </w:pPr>
      <w:r>
        <w:t xml:space="preserve">(1) The clinical trial sponsor referred to in Article 3 item (30) of this Act (hereinafter: the </w:t>
      </w:r>
      <w:r>
        <w:br/>
        <w:t xml:space="preserve">clinical trial sponsor) or representative of the sponsor referred to in Article 3 item (31) shall </w:t>
      </w:r>
      <w:r>
        <w:br/>
        <w:t>submit the application for conducting a clinical trial.</w:t>
      </w:r>
    </w:p>
    <w:p w:rsidR="004C50D4" w:rsidRDefault="004C50D4" w:rsidP="00C00B6C">
      <w:pPr>
        <w:spacing w:line="240" w:lineRule="atLeast"/>
        <w:jc w:val="both"/>
      </w:pPr>
      <w:r>
        <w:t xml:space="preserve">(2) Clinical trial sponsors that are not established in the European Union shall designate </w:t>
      </w:r>
      <w:r>
        <w:br/>
        <w:t>authorised representatives with a seat in an EU Member State.</w:t>
      </w:r>
    </w:p>
    <w:p w:rsidR="004C50D4" w:rsidRDefault="004C50D4" w:rsidP="00C00B6C">
      <w:pPr>
        <w:spacing w:line="240" w:lineRule="atLeast"/>
        <w:jc w:val="both"/>
      </w:pPr>
      <w:r>
        <w:t xml:space="preserve">(3) A clinical trial sponsor may assign all or a part of </w:t>
      </w:r>
      <w:r w:rsidR="00D752AF">
        <w:t>their</w:t>
      </w:r>
      <w:r>
        <w:t xml:space="preserve"> responsibilities to another natural </w:t>
      </w:r>
      <w:r>
        <w:br/>
        <w:t xml:space="preserve">or legal person, however this shall not relieve </w:t>
      </w:r>
      <w:r w:rsidR="00D752AF">
        <w:t xml:space="preserve">them of their </w:t>
      </w:r>
      <w:r>
        <w:t xml:space="preserve">responsibility for the relevant </w:t>
      </w:r>
      <w:r>
        <w:br/>
        <w:t>clinical trial.</w:t>
      </w:r>
    </w:p>
    <w:p w:rsidR="00142181" w:rsidRDefault="004C50D4" w:rsidP="00C00B6C">
      <w:pPr>
        <w:spacing w:line="240" w:lineRule="atLeast"/>
        <w:jc w:val="both"/>
      </w:pPr>
      <w:r>
        <w:t xml:space="preserve">(4) Applications for non-interventional trials shall be submitted by the marketing </w:t>
      </w:r>
      <w:r>
        <w:br/>
        <w:t>authorisation holders in the Republic of Croatia</w:t>
      </w:r>
      <w:r w:rsidR="00D752AF">
        <w:t>,</w:t>
      </w:r>
      <w:r>
        <w:t xml:space="preserve"> or the holders of the authorisations granted </w:t>
      </w:r>
      <w:r>
        <w:br/>
        <w:t xml:space="preserve">through the centralised procedure or the representatives of the marketing authorisation </w:t>
      </w:r>
      <w:r>
        <w:br/>
        <w:t>holders.</w:t>
      </w:r>
    </w:p>
    <w:p w:rsidR="004C50D4" w:rsidRDefault="004C50D4" w:rsidP="00F70B12">
      <w:pPr>
        <w:spacing w:line="240" w:lineRule="atLeast"/>
        <w:jc w:val="center"/>
      </w:pPr>
      <w:r>
        <w:t>Article 12</w:t>
      </w:r>
    </w:p>
    <w:p w:rsidR="004C50D4" w:rsidRDefault="004C50D4" w:rsidP="00D752AF">
      <w:pPr>
        <w:spacing w:line="240" w:lineRule="atLeast"/>
        <w:jc w:val="both"/>
      </w:pPr>
      <w:r>
        <w:t xml:space="preserve">(1) The Central Ethics Committee shall give opinions on the procedure for approval of </w:t>
      </w:r>
      <w:r>
        <w:br/>
        <w:t>clinical, non-interventional and non-commercial tr</w:t>
      </w:r>
      <w:r w:rsidR="00D752AF">
        <w:t>ials</w:t>
      </w:r>
      <w:r>
        <w:t xml:space="preserve"> in the Republic of Croatia. </w:t>
      </w:r>
    </w:p>
    <w:p w:rsidR="004C50D4" w:rsidRDefault="004C50D4" w:rsidP="00C00B6C">
      <w:pPr>
        <w:spacing w:line="240" w:lineRule="atLeast"/>
        <w:jc w:val="both"/>
      </w:pPr>
      <w:r>
        <w:lastRenderedPageBreak/>
        <w:t xml:space="preserve">(2) The Ministry shall grant approval for </w:t>
      </w:r>
      <w:r w:rsidR="00D752AF">
        <w:t xml:space="preserve">the </w:t>
      </w:r>
      <w:r>
        <w:t>conduct</w:t>
      </w:r>
      <w:r w:rsidR="00D752AF">
        <w:t xml:space="preserve"> of</w:t>
      </w:r>
      <w:r>
        <w:t xml:space="preserve"> clinical trials of medicinal products, </w:t>
      </w:r>
      <w:r>
        <w:br/>
        <w:t>including the non-commercial trials referred to in Article 163 paragraph 1 of this Act.</w:t>
      </w:r>
    </w:p>
    <w:p w:rsidR="00F70B12" w:rsidRDefault="004C50D4" w:rsidP="00C00B6C">
      <w:pPr>
        <w:spacing w:line="240" w:lineRule="atLeast"/>
        <w:jc w:val="both"/>
      </w:pPr>
      <w:r>
        <w:t>(3) The Agency shall grant approval for</w:t>
      </w:r>
      <w:r w:rsidR="00D752AF">
        <w:t xml:space="preserve"> the</w:t>
      </w:r>
      <w:r>
        <w:t xml:space="preserve"> conduct</w:t>
      </w:r>
      <w:r w:rsidR="00D752AF">
        <w:t xml:space="preserve"> of</w:t>
      </w:r>
      <w:r>
        <w:t xml:space="preserve"> non-interventional trials, with the </w:t>
      </w:r>
      <w:r>
        <w:br/>
        <w:t>exception of the non-interventional trials referred to in Article 163 paragraph 1 of this Act.</w:t>
      </w:r>
    </w:p>
    <w:p w:rsidR="004C50D4" w:rsidRDefault="004C50D4" w:rsidP="00F70B12">
      <w:pPr>
        <w:spacing w:line="240" w:lineRule="atLeast"/>
        <w:jc w:val="center"/>
      </w:pPr>
      <w:r>
        <w:t>Article 13</w:t>
      </w:r>
    </w:p>
    <w:p w:rsidR="00F70B12" w:rsidRDefault="004C50D4" w:rsidP="00D752AF">
      <w:pPr>
        <w:spacing w:line="240" w:lineRule="atLeast"/>
        <w:jc w:val="both"/>
      </w:pPr>
      <w:r>
        <w:t xml:space="preserve">The Minister shall issue an ordinance laying down </w:t>
      </w:r>
      <w:r w:rsidR="00D752AF">
        <w:t>how</w:t>
      </w:r>
      <w:r>
        <w:t xml:space="preserve"> the Central </w:t>
      </w:r>
      <w:r>
        <w:br/>
        <w:t xml:space="preserve">Ethics Committee </w:t>
      </w:r>
      <w:r w:rsidR="00D752AF">
        <w:t>is to</w:t>
      </w:r>
      <w:r>
        <w:t xml:space="preserve"> submit its opinions and give approval for clinical, non</w:t>
      </w:r>
      <w:r w:rsidR="00D752AF">
        <w:t>-</w:t>
      </w:r>
      <w:r>
        <w:t>interventional and non-commercial trials of medicinal products</w:t>
      </w:r>
      <w:r w:rsidR="00D752AF">
        <w:t>,</w:t>
      </w:r>
      <w:r>
        <w:t xml:space="preserve"> as well as the documents</w:t>
      </w:r>
      <w:r w:rsidR="00D752AF" w:rsidRPr="00D752AF">
        <w:t xml:space="preserve"> </w:t>
      </w:r>
      <w:r w:rsidR="00D752AF">
        <w:t>required</w:t>
      </w:r>
      <w:r w:rsidR="00D752AF">
        <w:t>.</w:t>
      </w:r>
    </w:p>
    <w:p w:rsidR="004C50D4" w:rsidRDefault="004C50D4" w:rsidP="00F70B12">
      <w:pPr>
        <w:spacing w:line="240" w:lineRule="atLeast"/>
        <w:jc w:val="center"/>
      </w:pPr>
      <w:r>
        <w:t>Article 14</w:t>
      </w:r>
    </w:p>
    <w:p w:rsidR="004C50D4" w:rsidRDefault="004C50D4" w:rsidP="00C00B6C">
      <w:pPr>
        <w:spacing w:line="240" w:lineRule="atLeast"/>
        <w:jc w:val="both"/>
      </w:pPr>
      <w:r>
        <w:t xml:space="preserve">(1) The Central Ethics Committee shall </w:t>
      </w:r>
      <w:r w:rsidR="00D752AF">
        <w:t>issue</w:t>
      </w:r>
      <w:r>
        <w:t xml:space="preserve"> </w:t>
      </w:r>
      <w:r w:rsidR="00D752AF">
        <w:t>a</w:t>
      </w:r>
      <w:r w:rsidR="00A25C0C">
        <w:t>n</w:t>
      </w:r>
      <w:r w:rsidR="00D752AF">
        <w:t xml:space="preserve"> </w:t>
      </w:r>
      <w:r>
        <w:t>opinion</w:t>
      </w:r>
      <w:r w:rsidR="00A25C0C">
        <w:t xml:space="preserve"> in writing</w:t>
      </w:r>
      <w:r>
        <w:t xml:space="preserve"> on the acceptability of the </w:t>
      </w:r>
      <w:r>
        <w:br/>
        <w:t>proposed clinical, non-interven</w:t>
      </w:r>
      <w:r w:rsidR="00D752AF">
        <w:t>tional and non-commercial trial</w:t>
      </w:r>
      <w:r>
        <w:t xml:space="preserve"> within the period of up to 30 </w:t>
      </w:r>
      <w:r>
        <w:br/>
        <w:t xml:space="preserve">days from the receipt of a </w:t>
      </w:r>
      <w:r w:rsidR="00D752AF">
        <w:t>correctly filed</w:t>
      </w:r>
      <w:r>
        <w:t xml:space="preserve"> application</w:t>
      </w:r>
      <w:r w:rsidR="00D752AF">
        <w:t>,</w:t>
      </w:r>
      <w:r>
        <w:t xml:space="preserve"> and shall submit the same to the </w:t>
      </w:r>
      <w:r w:rsidR="00D752AF">
        <w:t>applicant</w:t>
      </w:r>
      <w:r w:rsidR="00D752AF">
        <w:t xml:space="preserve"> for the clinical,</w:t>
      </w:r>
      <w:r>
        <w:t xml:space="preserve"> no</w:t>
      </w:r>
      <w:r w:rsidR="00D752AF">
        <w:t>n-</w:t>
      </w:r>
      <w:r>
        <w:t>interventional and non-commercial</w:t>
      </w:r>
      <w:r w:rsidR="00D752AF">
        <w:t xml:space="preserve"> </w:t>
      </w:r>
      <w:r>
        <w:t>trial, to the Ministry and the Agency.</w:t>
      </w:r>
    </w:p>
    <w:p w:rsidR="004C50D4" w:rsidRDefault="004C50D4" w:rsidP="00C00B6C">
      <w:pPr>
        <w:spacing w:line="240" w:lineRule="atLeast"/>
        <w:jc w:val="both"/>
      </w:pPr>
      <w:r>
        <w:t xml:space="preserve">(2) Within </w:t>
      </w:r>
      <w:r w:rsidR="00D752AF">
        <w:t>a</w:t>
      </w:r>
      <w:r>
        <w:t xml:space="preserve"> period of 90 days of the receipt of a </w:t>
      </w:r>
      <w:r w:rsidR="00D752AF">
        <w:t>correctly</w:t>
      </w:r>
      <w:r>
        <w:t xml:space="preserve"> filed application, the Central Ethics </w:t>
      </w:r>
      <w:r>
        <w:br/>
        <w:t xml:space="preserve">Committee shall </w:t>
      </w:r>
      <w:r w:rsidR="00A25C0C">
        <w:t>issue an</w:t>
      </w:r>
      <w:r>
        <w:t xml:space="preserve"> opinion</w:t>
      </w:r>
      <w:r w:rsidR="00A25C0C">
        <w:t xml:space="preserve"> in writing o</w:t>
      </w:r>
      <w:r>
        <w:t>n</w:t>
      </w:r>
      <w:r w:rsidR="00A25C0C">
        <w:t xml:space="preserve"> the</w:t>
      </w:r>
      <w:r>
        <w:t xml:space="preserve"> acceptability of the proposed clinical trials of </w:t>
      </w:r>
      <w:r>
        <w:br/>
        <w:t xml:space="preserve">medicinal products intended for gene therapy, somatic-cell therapy, including also medicinal </w:t>
      </w:r>
      <w:r>
        <w:br/>
        <w:t xml:space="preserve">products containing genetically modified organisms. </w:t>
      </w:r>
    </w:p>
    <w:p w:rsidR="004C50D4" w:rsidRDefault="004C50D4" w:rsidP="00C00B6C">
      <w:pPr>
        <w:spacing w:line="240" w:lineRule="atLeast"/>
        <w:jc w:val="both"/>
      </w:pPr>
      <w:r>
        <w:t xml:space="preserve">(3) The time-limit referred to in paragraph 2 of this Article may be extended for a further </w:t>
      </w:r>
      <w:r>
        <w:br/>
        <w:t>period of 90 days in</w:t>
      </w:r>
      <w:r w:rsidR="00A25C0C">
        <w:t xml:space="preserve"> the</w:t>
      </w:r>
      <w:r>
        <w:t xml:space="preserve"> case of </w:t>
      </w:r>
      <w:r w:rsidR="00A25C0C">
        <w:t xml:space="preserve">the </w:t>
      </w:r>
      <w:r>
        <w:t xml:space="preserve">need to consult experts or commissions. </w:t>
      </w:r>
    </w:p>
    <w:p w:rsidR="004C50D4" w:rsidRDefault="004C50D4" w:rsidP="00C00B6C">
      <w:pPr>
        <w:spacing w:line="240" w:lineRule="atLeast"/>
        <w:jc w:val="both"/>
      </w:pPr>
      <w:r>
        <w:t xml:space="preserve">(4) The time for </w:t>
      </w:r>
      <w:r w:rsidR="00A25C0C">
        <w:t>issuing</w:t>
      </w:r>
      <w:r>
        <w:t xml:space="preserve"> opinions on</w:t>
      </w:r>
      <w:r w:rsidR="00A25C0C">
        <w:t xml:space="preserve"> the</w:t>
      </w:r>
      <w:r>
        <w:t xml:space="preserve"> acceptability of clinical trials of xenogenic medicinal </w:t>
      </w:r>
      <w:r>
        <w:br/>
        <w:t xml:space="preserve">products shall not be limited. </w:t>
      </w:r>
    </w:p>
    <w:p w:rsidR="004C50D4" w:rsidRDefault="004C50D4" w:rsidP="00F70B12">
      <w:pPr>
        <w:spacing w:line="240" w:lineRule="atLeast"/>
        <w:jc w:val="center"/>
      </w:pPr>
      <w:r>
        <w:t>Article 15</w:t>
      </w:r>
    </w:p>
    <w:p w:rsidR="004C50D4" w:rsidRDefault="004C50D4" w:rsidP="00C00B6C">
      <w:pPr>
        <w:spacing w:line="240" w:lineRule="atLeast"/>
        <w:jc w:val="both"/>
      </w:pPr>
      <w:r>
        <w:t xml:space="preserve">(1) After receiving a positive opinion </w:t>
      </w:r>
      <w:r w:rsidR="00A25C0C">
        <w:t>from</w:t>
      </w:r>
      <w:r>
        <w:t xml:space="preserve"> the Central Ethics Committee, </w:t>
      </w:r>
      <w:r w:rsidR="00A25C0C">
        <w:t>the</w:t>
      </w:r>
      <w:r>
        <w:t xml:space="preserve"> applicant for a </w:t>
      </w:r>
      <w:r>
        <w:br/>
        <w:t xml:space="preserve">clinical trial, including </w:t>
      </w:r>
      <w:r w:rsidR="00A25C0C">
        <w:t xml:space="preserve">applicants </w:t>
      </w:r>
      <w:r>
        <w:t>for non-commercial clinical trial</w:t>
      </w:r>
      <w:r w:rsidR="00A25C0C">
        <w:t>s</w:t>
      </w:r>
      <w:r>
        <w:t xml:space="preserve">, shall submit a request to the </w:t>
      </w:r>
      <w:r>
        <w:br/>
        <w:t xml:space="preserve">Ministry for authorisation of </w:t>
      </w:r>
      <w:r w:rsidR="00A25C0C">
        <w:t xml:space="preserve">the </w:t>
      </w:r>
      <w:r>
        <w:t xml:space="preserve">clinical trial in the Republic of Croatia. </w:t>
      </w:r>
    </w:p>
    <w:p w:rsidR="004C50D4" w:rsidRDefault="004C50D4" w:rsidP="00C00B6C">
      <w:pPr>
        <w:spacing w:line="240" w:lineRule="atLeast"/>
        <w:jc w:val="both"/>
      </w:pPr>
      <w:r>
        <w:t xml:space="preserve">(2) The Ministry shall grant or refuse authorisation for </w:t>
      </w:r>
      <w:r w:rsidR="00A25C0C">
        <w:t xml:space="preserve">the </w:t>
      </w:r>
      <w:r>
        <w:t>clinical/non-intervention</w:t>
      </w:r>
      <w:r w:rsidR="00A25C0C">
        <w:t>al</w:t>
      </w:r>
      <w:r>
        <w:t xml:space="preserve"> trial </w:t>
      </w:r>
      <w:r>
        <w:br/>
        <w:t xml:space="preserve">within 30 days from the receipt of a </w:t>
      </w:r>
      <w:r w:rsidR="00A25C0C">
        <w:t>correctly</w:t>
      </w:r>
      <w:r>
        <w:t xml:space="preserve"> filed request.</w:t>
      </w:r>
    </w:p>
    <w:p w:rsidR="004C50D4" w:rsidRDefault="004C50D4" w:rsidP="00C00B6C">
      <w:pPr>
        <w:spacing w:line="240" w:lineRule="atLeast"/>
        <w:jc w:val="both"/>
      </w:pPr>
      <w:r>
        <w:t>(3) The time-limit referred to in paragraph 2 of this Article, may be extended by</w:t>
      </w:r>
      <w:r w:rsidR="00A25C0C">
        <w:t xml:space="preserve"> an</w:t>
      </w:r>
      <w:r>
        <w:t xml:space="preserve"> additional 30 </w:t>
      </w:r>
      <w:r>
        <w:br/>
        <w:t xml:space="preserve">days for clinical studies </w:t>
      </w:r>
      <w:r w:rsidR="00A25C0C">
        <w:t>relating to</w:t>
      </w:r>
      <w:r>
        <w:t xml:space="preserve"> gene therapy, somatic-cell therapy, </w:t>
      </w:r>
      <w:r w:rsidR="00A25C0C">
        <w:t xml:space="preserve">also </w:t>
      </w:r>
      <w:r>
        <w:t xml:space="preserve">including medicinal </w:t>
      </w:r>
      <w:r>
        <w:br/>
        <w:t xml:space="preserve">products containing genetically modified organisms, and xenogenic medicinal products. </w:t>
      </w:r>
      <w:r w:rsidR="00A25C0C">
        <w:t xml:space="preserve"> </w:t>
      </w:r>
    </w:p>
    <w:p w:rsidR="004C50D4" w:rsidRDefault="004C50D4" w:rsidP="00C00B6C">
      <w:pPr>
        <w:spacing w:line="240" w:lineRule="atLeast"/>
        <w:jc w:val="both"/>
      </w:pPr>
      <w:r>
        <w:t xml:space="preserve">(4) Should the Ministry fail to either grant or refuse </w:t>
      </w:r>
      <w:r w:rsidR="00A25C0C">
        <w:t>the</w:t>
      </w:r>
      <w:r>
        <w:t xml:space="preserve"> authorisation within the time-limit</w:t>
      </w:r>
      <w:r w:rsidR="00A25C0C">
        <w:t>s</w:t>
      </w:r>
      <w:r>
        <w:t xml:space="preserve"> </w:t>
      </w:r>
      <w:r>
        <w:br/>
        <w:t>referred to in paragraphs 2 and 3 of this Article, the authorisation shall be deemed</w:t>
      </w:r>
      <w:r w:rsidR="00A25C0C">
        <w:t xml:space="preserve"> to have been</w:t>
      </w:r>
      <w:r>
        <w:t xml:space="preserve"> granted, except when</w:t>
      </w:r>
      <w:r w:rsidR="00A25C0C">
        <w:t xml:space="preserve"> the</w:t>
      </w:r>
      <w:r>
        <w:t xml:space="preserve"> written authorisation of the Ministry has to be obtained before commencing the clinical trials of a medicinal product intended for gene therapy, somatic-cell therapy, </w:t>
      </w:r>
      <w:r w:rsidR="00A25C0C">
        <w:t>also</w:t>
      </w:r>
      <w:r w:rsidR="00A25C0C">
        <w:t xml:space="preserve"> </w:t>
      </w:r>
      <w:r>
        <w:t xml:space="preserve">including medicinal products containing genetically modified organisms, and clinical </w:t>
      </w:r>
      <w:r>
        <w:br/>
        <w:t xml:space="preserve">trials of </w:t>
      </w:r>
      <w:proofErr w:type="spellStart"/>
      <w:r>
        <w:t>xenogenic</w:t>
      </w:r>
      <w:proofErr w:type="spellEnd"/>
      <w:r>
        <w:t xml:space="preserve"> medicinal products.</w:t>
      </w:r>
      <w:r w:rsidR="00A25C0C">
        <w:t xml:space="preserve"> </w:t>
      </w:r>
    </w:p>
    <w:p w:rsidR="004C50D4" w:rsidRDefault="004C50D4" w:rsidP="00A25C0C">
      <w:pPr>
        <w:spacing w:line="240" w:lineRule="atLeast"/>
        <w:jc w:val="both"/>
      </w:pPr>
      <w:r>
        <w:t xml:space="preserve">(5) The Ministry shall refuse authorisation for </w:t>
      </w:r>
      <w:r w:rsidR="00A25C0C">
        <w:t xml:space="preserve">the </w:t>
      </w:r>
      <w:r>
        <w:t xml:space="preserve">clinical trials of medicinal products for </w:t>
      </w:r>
      <w:r>
        <w:br/>
        <w:t xml:space="preserve">gene therapy if there is a risk of genome alteration in </w:t>
      </w:r>
      <w:r w:rsidR="00A25C0C">
        <w:t xml:space="preserve">the </w:t>
      </w:r>
      <w:r>
        <w:t xml:space="preserve">reproductive cells of </w:t>
      </w:r>
      <w:r w:rsidR="00A25C0C">
        <w:t xml:space="preserve">the </w:t>
      </w:r>
      <w:r>
        <w:t>trial subjects.</w:t>
      </w:r>
    </w:p>
    <w:p w:rsidR="004C50D4" w:rsidRDefault="004C50D4" w:rsidP="00C00B6C">
      <w:pPr>
        <w:spacing w:line="240" w:lineRule="atLeast"/>
        <w:jc w:val="both"/>
      </w:pPr>
      <w:r>
        <w:lastRenderedPageBreak/>
        <w:t>(6) The Ministry shall grant or refuse authorisation for clinical trials, including non</w:t>
      </w:r>
      <w:r w:rsidR="00590BCB">
        <w:t>-</w:t>
      </w:r>
      <w:r>
        <w:t>commercial clinical trial</w:t>
      </w:r>
      <w:r w:rsidR="00590BCB">
        <w:t>s</w:t>
      </w:r>
      <w:r>
        <w:t xml:space="preserve">, by </w:t>
      </w:r>
      <w:r w:rsidR="00590BCB">
        <w:t>adopting</w:t>
      </w:r>
      <w:r>
        <w:t xml:space="preserve"> a decision</w:t>
      </w:r>
      <w:r w:rsidR="00590BCB">
        <w:t>,</w:t>
      </w:r>
      <w:r>
        <w:t xml:space="preserve"> against which</w:t>
      </w:r>
      <w:r w:rsidR="00590BCB">
        <w:t xml:space="preserve"> no</w:t>
      </w:r>
      <w:r>
        <w:t xml:space="preserve"> </w:t>
      </w:r>
      <w:r w:rsidR="00590BCB">
        <w:t>appeal</w:t>
      </w:r>
      <w:r w:rsidR="00486371">
        <w:t xml:space="preserve"> is</w:t>
      </w:r>
      <w:r>
        <w:t xml:space="preserve"> </w:t>
      </w:r>
      <w:r w:rsidR="00590BCB">
        <w:t>permitted,</w:t>
      </w:r>
      <w:r>
        <w:t xml:space="preserve"> but administrative proce</w:t>
      </w:r>
      <w:r w:rsidR="00486371">
        <w:t>edings</w:t>
      </w:r>
      <w:r>
        <w:t xml:space="preserve"> may be initiated.</w:t>
      </w:r>
    </w:p>
    <w:p w:rsidR="004C50D4" w:rsidRDefault="004C50D4" w:rsidP="00C00B6C">
      <w:pPr>
        <w:spacing w:line="240" w:lineRule="atLeast"/>
        <w:jc w:val="both"/>
      </w:pPr>
      <w:r>
        <w:t>(7) By way of derogation from paragraph 1 of this Article, an applic</w:t>
      </w:r>
      <w:r w:rsidR="00590BCB">
        <w:t xml:space="preserve">ant may simultaneously </w:t>
      </w:r>
      <w:r w:rsidR="00590BCB">
        <w:br/>
        <w:t>submit</w:t>
      </w:r>
      <w:r>
        <w:t xml:space="preserve"> </w:t>
      </w:r>
      <w:r w:rsidR="00590BCB">
        <w:t>request</w:t>
      </w:r>
      <w:r w:rsidR="00590BCB">
        <w:t xml:space="preserve">s for authorisation of a </w:t>
      </w:r>
      <w:r>
        <w:t>clinical trial to the Central Ethics Committee and the Ministry.</w:t>
      </w:r>
    </w:p>
    <w:p w:rsidR="004C50D4" w:rsidRDefault="004C50D4" w:rsidP="00C00B6C">
      <w:pPr>
        <w:spacing w:line="240" w:lineRule="atLeast"/>
        <w:jc w:val="both"/>
      </w:pPr>
      <w:r>
        <w:t xml:space="preserve">(8) Applicants for </w:t>
      </w:r>
      <w:r w:rsidR="00590BCB">
        <w:t xml:space="preserve">a </w:t>
      </w:r>
      <w:r>
        <w:t xml:space="preserve">non-interventional trial shall submit their applications to the Agency. </w:t>
      </w:r>
    </w:p>
    <w:p w:rsidR="004C50D4" w:rsidRDefault="004C50D4" w:rsidP="00C00B6C">
      <w:pPr>
        <w:spacing w:line="240" w:lineRule="atLeast"/>
        <w:jc w:val="both"/>
      </w:pPr>
      <w:r>
        <w:t xml:space="preserve">(9) The Agency </w:t>
      </w:r>
      <w:r w:rsidR="00486371">
        <w:t>is</w:t>
      </w:r>
      <w:r>
        <w:t xml:space="preserve"> obliged to either approve or refuse the authorisation within 30 days </w:t>
      </w:r>
      <w:r>
        <w:br/>
        <w:t>of the</w:t>
      </w:r>
      <w:r w:rsidR="00486371">
        <w:t xml:space="preserve"> day of</w:t>
      </w:r>
      <w:r>
        <w:t xml:space="preserve"> receipt of a </w:t>
      </w:r>
      <w:r w:rsidR="00486371">
        <w:t>correctly</w:t>
      </w:r>
      <w:r>
        <w:t xml:space="preserve"> filed application for conducting the non-interventional </w:t>
      </w:r>
      <w:r>
        <w:br/>
        <w:t>trial.</w:t>
      </w:r>
    </w:p>
    <w:p w:rsidR="004C50D4" w:rsidRDefault="004C50D4" w:rsidP="00C00B6C">
      <w:pPr>
        <w:spacing w:line="240" w:lineRule="atLeast"/>
        <w:jc w:val="both"/>
      </w:pPr>
      <w:r>
        <w:t xml:space="preserve">(10) The Agency shall grant or refuse authorisation for conduct of </w:t>
      </w:r>
      <w:r w:rsidR="00486371">
        <w:t xml:space="preserve">a </w:t>
      </w:r>
      <w:r>
        <w:t xml:space="preserve">non-interventional </w:t>
      </w:r>
      <w:r>
        <w:br/>
        <w:t xml:space="preserve">trial by </w:t>
      </w:r>
      <w:r w:rsidR="00486371">
        <w:t>adopting</w:t>
      </w:r>
      <w:r>
        <w:t xml:space="preserve"> a decision, against which </w:t>
      </w:r>
      <w:r w:rsidR="00486371">
        <w:t>no appeal is permitted,</w:t>
      </w:r>
      <w:r>
        <w:t xml:space="preserve"> but </w:t>
      </w:r>
      <w:r w:rsidR="00486371">
        <w:t>a</w:t>
      </w:r>
      <w:r>
        <w:t xml:space="preserve">dministrative </w:t>
      </w:r>
      <w:r>
        <w:br/>
        <w:t>proce</w:t>
      </w:r>
      <w:r w:rsidR="00486371">
        <w:t>edings</w:t>
      </w:r>
      <w:r>
        <w:t xml:space="preserve"> may be initiated.</w:t>
      </w:r>
    </w:p>
    <w:p w:rsidR="004C50D4" w:rsidRDefault="004C50D4" w:rsidP="00F70B12">
      <w:pPr>
        <w:spacing w:line="240" w:lineRule="atLeast"/>
        <w:jc w:val="center"/>
      </w:pPr>
      <w:r>
        <w:t>Article 16</w:t>
      </w:r>
    </w:p>
    <w:p w:rsidR="004C50D4" w:rsidRDefault="004C50D4" w:rsidP="00C00B6C">
      <w:pPr>
        <w:spacing w:line="240" w:lineRule="atLeast"/>
        <w:jc w:val="both"/>
      </w:pPr>
      <w:r>
        <w:t xml:space="preserve">(1) Clinical trial applicants </w:t>
      </w:r>
      <w:r w:rsidR="009E73A4">
        <w:t>are</w:t>
      </w:r>
      <w:r>
        <w:t xml:space="preserve"> required to inform the Central Ethics Committee and the </w:t>
      </w:r>
      <w:r>
        <w:br/>
        <w:t xml:space="preserve">Ministry about any significant amendments to a clinical trial. </w:t>
      </w:r>
    </w:p>
    <w:p w:rsidR="004C50D4" w:rsidRDefault="004C50D4" w:rsidP="00C00B6C">
      <w:pPr>
        <w:spacing w:line="240" w:lineRule="atLeast"/>
        <w:jc w:val="both"/>
      </w:pPr>
      <w:r>
        <w:t xml:space="preserve">(2) The Central Ethics Committee and the Ministry shall give their opinions </w:t>
      </w:r>
      <w:r w:rsidR="009E73A4">
        <w:t>regarding</w:t>
      </w:r>
      <w:r>
        <w:t xml:space="preserve"> </w:t>
      </w:r>
      <w:r w:rsidR="009E73A4">
        <w:t xml:space="preserve">any </w:t>
      </w:r>
      <w:r>
        <w:t xml:space="preserve">significant </w:t>
      </w:r>
      <w:r>
        <w:br/>
        <w:t>a</w:t>
      </w:r>
      <w:r w:rsidR="009E73A4">
        <w:t>mendments to the clinical trial</w:t>
      </w:r>
      <w:r>
        <w:t xml:space="preserve"> within 35 days from receipt of a </w:t>
      </w:r>
      <w:r w:rsidR="009E73A4">
        <w:t>correctly</w:t>
      </w:r>
      <w:r>
        <w:t xml:space="preserve"> filed </w:t>
      </w:r>
      <w:r>
        <w:br/>
        <w:t xml:space="preserve">request. </w:t>
      </w:r>
    </w:p>
    <w:p w:rsidR="004C50D4" w:rsidRDefault="004C50D4" w:rsidP="00C00B6C">
      <w:pPr>
        <w:spacing w:line="240" w:lineRule="atLeast"/>
        <w:jc w:val="both"/>
      </w:pPr>
      <w:r>
        <w:t xml:space="preserve">(3) After receiving </w:t>
      </w:r>
      <w:r w:rsidR="009E73A4">
        <w:t>the</w:t>
      </w:r>
      <w:r>
        <w:t xml:space="preserve"> positive opinion of the Central Ethics Committee, </w:t>
      </w:r>
      <w:r w:rsidR="009E73A4">
        <w:t>the</w:t>
      </w:r>
      <w:r>
        <w:t xml:space="preserve"> applicant may </w:t>
      </w:r>
      <w:r>
        <w:br/>
        <w:t>intro</w:t>
      </w:r>
      <w:r w:rsidR="009E73A4">
        <w:t>duce significant amendments to the</w:t>
      </w:r>
      <w:r>
        <w:t xml:space="preserve"> clinical trial </w:t>
      </w:r>
      <w:r w:rsidR="009E73A4">
        <w:t>if</w:t>
      </w:r>
      <w:r>
        <w:t xml:space="preserve"> the Ministry </w:t>
      </w:r>
      <w:r w:rsidR="009E73A4">
        <w:t>fails</w:t>
      </w:r>
      <w:r>
        <w:t xml:space="preserve"> to inform </w:t>
      </w:r>
      <w:r>
        <w:br/>
      </w:r>
      <w:r w:rsidR="009E73A4">
        <w:t>them of the</w:t>
      </w:r>
      <w:r>
        <w:t xml:space="preserve"> reasons for refusing the authorisation within the </w:t>
      </w:r>
      <w:r w:rsidR="009E73A4">
        <w:t>period of time</w:t>
      </w:r>
      <w:r>
        <w:t xml:space="preserve"> referred to in paragraph 2 of this Article.</w:t>
      </w:r>
    </w:p>
    <w:p w:rsidR="004C50D4" w:rsidRDefault="004C50D4" w:rsidP="00F70B12">
      <w:pPr>
        <w:spacing w:line="240" w:lineRule="atLeast"/>
        <w:jc w:val="center"/>
      </w:pPr>
      <w:r>
        <w:t>Article 17</w:t>
      </w:r>
    </w:p>
    <w:p w:rsidR="004C50D4" w:rsidRDefault="004C50D4" w:rsidP="00C00B6C">
      <w:pPr>
        <w:spacing w:line="240" w:lineRule="atLeast"/>
        <w:jc w:val="both"/>
      </w:pPr>
      <w:r>
        <w:t>(1) Clinical trials of medicinal products shall not be conducted without</w:t>
      </w:r>
      <w:r w:rsidR="009C7526">
        <w:t xml:space="preserve"> the</w:t>
      </w:r>
      <w:r>
        <w:t xml:space="preserve"> informed consent of </w:t>
      </w:r>
      <w:r>
        <w:br/>
        <w:t xml:space="preserve">the trial subjects. </w:t>
      </w:r>
    </w:p>
    <w:p w:rsidR="004C50D4" w:rsidRDefault="004C50D4" w:rsidP="00C00B6C">
      <w:pPr>
        <w:spacing w:line="240" w:lineRule="atLeast"/>
        <w:jc w:val="both"/>
      </w:pPr>
      <w:r>
        <w:t xml:space="preserve">(2) In exceptional cases, i.e. where a trial subject is unconscious, or suffering from severe </w:t>
      </w:r>
      <w:r>
        <w:br/>
        <w:t>mental impairment, has no capacity to exercise her/his rights, or is a minor, the informe</w:t>
      </w:r>
      <w:r w:rsidR="009C7526">
        <w:t xml:space="preserve">d </w:t>
      </w:r>
      <w:r w:rsidR="009C7526">
        <w:br/>
        <w:t>consent shall be given by their</w:t>
      </w:r>
      <w:r>
        <w:t xml:space="preserve"> legal representative or guardian, after </w:t>
      </w:r>
      <w:r w:rsidR="009C7526">
        <w:t>they have been</w:t>
      </w:r>
      <w:r>
        <w:t xml:space="preserve"> made </w:t>
      </w:r>
      <w:r>
        <w:br/>
        <w:t>aware of the risks and the objectives of the trial.</w:t>
      </w:r>
    </w:p>
    <w:p w:rsidR="004C50D4" w:rsidRDefault="004C50D4" w:rsidP="00C00B6C">
      <w:pPr>
        <w:spacing w:line="240" w:lineRule="atLeast"/>
        <w:jc w:val="both"/>
      </w:pPr>
      <w:r>
        <w:t xml:space="preserve">(3) </w:t>
      </w:r>
      <w:r w:rsidR="009C7526">
        <w:t>The p</w:t>
      </w:r>
      <w:r>
        <w:t>ersons referred to in paragraphs 1 and 2 of this Article may, at any time, withdraw</w:t>
      </w:r>
      <w:r w:rsidR="001137D5">
        <w:t xml:space="preserve"> their </w:t>
      </w:r>
      <w:r w:rsidR="001137D5">
        <w:br/>
        <w:t>informed consent to</w:t>
      </w:r>
      <w:r>
        <w:t xml:space="preserve"> participation in the clinical trial. </w:t>
      </w:r>
    </w:p>
    <w:p w:rsidR="004C50D4" w:rsidRDefault="004C50D4" w:rsidP="00C00B6C">
      <w:pPr>
        <w:spacing w:line="240" w:lineRule="atLeast"/>
        <w:jc w:val="both"/>
      </w:pPr>
      <w:r>
        <w:t xml:space="preserve">(4) Clinical trials shall not be conducted if </w:t>
      </w:r>
      <w:r w:rsidR="009C7526">
        <w:t xml:space="preserve">the </w:t>
      </w:r>
      <w:r>
        <w:t>potential risks of us</w:t>
      </w:r>
      <w:r w:rsidR="001137D5">
        <w:t>ing</w:t>
      </w:r>
      <w:r>
        <w:t xml:space="preserve"> a medicinal product </w:t>
      </w:r>
      <w:r>
        <w:br/>
        <w:t xml:space="preserve">outweigh </w:t>
      </w:r>
      <w:r w:rsidR="001137D5">
        <w:t xml:space="preserve">the </w:t>
      </w:r>
      <w:r>
        <w:t>medical justification of the trial.</w:t>
      </w:r>
    </w:p>
    <w:p w:rsidR="004C50D4" w:rsidRDefault="004C50D4" w:rsidP="00C00B6C">
      <w:pPr>
        <w:spacing w:line="240" w:lineRule="atLeast"/>
        <w:jc w:val="both"/>
      </w:pPr>
      <w:r>
        <w:t>(5) Prisoners or persons who might be coerced into giving consent to participat</w:t>
      </w:r>
      <w:r w:rsidR="001137D5">
        <w:t>ion</w:t>
      </w:r>
      <w:r>
        <w:t xml:space="preserve"> in a clinical </w:t>
      </w:r>
      <w:r>
        <w:br/>
        <w:t xml:space="preserve">trial </w:t>
      </w:r>
      <w:r w:rsidR="009C7526">
        <w:t>m</w:t>
      </w:r>
      <w:r w:rsidR="001137D5">
        <w:t>ay</w:t>
      </w:r>
      <w:r>
        <w:t xml:space="preserve"> not be</w:t>
      </w:r>
      <w:r w:rsidR="009C7526">
        <w:t xml:space="preserve"> the subject of trials.</w:t>
      </w:r>
    </w:p>
    <w:p w:rsidR="004C50D4" w:rsidRDefault="004C50D4" w:rsidP="00F70B12">
      <w:pPr>
        <w:spacing w:line="240" w:lineRule="atLeast"/>
        <w:jc w:val="center"/>
      </w:pPr>
      <w:r>
        <w:t>Article 18</w:t>
      </w:r>
    </w:p>
    <w:p w:rsidR="004C50D4" w:rsidRDefault="004C50D4" w:rsidP="00C00B6C">
      <w:pPr>
        <w:spacing w:line="240" w:lineRule="atLeast"/>
        <w:jc w:val="both"/>
      </w:pPr>
      <w:r>
        <w:t xml:space="preserve">(1) The principles of medical ethics and </w:t>
      </w:r>
      <w:r w:rsidR="001137D5">
        <w:t xml:space="preserve">the </w:t>
      </w:r>
      <w:r>
        <w:t xml:space="preserve">compulsory protection of privacy and information </w:t>
      </w:r>
      <w:r>
        <w:br/>
        <w:t>about</w:t>
      </w:r>
      <w:r w:rsidR="001137D5">
        <w:t xml:space="preserve"> the</w:t>
      </w:r>
      <w:r>
        <w:t xml:space="preserve"> subjects shall be observed</w:t>
      </w:r>
      <w:r w:rsidR="001137D5">
        <w:t xml:space="preserve"> when</w:t>
      </w:r>
      <w:r>
        <w:t xml:space="preserve"> conducting clinical trials, as pr</w:t>
      </w:r>
      <w:r w:rsidR="009C7526">
        <w:t>escribed</w:t>
      </w:r>
      <w:r>
        <w:t xml:space="preserve"> </w:t>
      </w:r>
      <w:r w:rsidR="001137D5">
        <w:t>by</w:t>
      </w:r>
      <w:r>
        <w:t xml:space="preserve"> the ordinance </w:t>
      </w:r>
      <w:r>
        <w:br/>
        <w:t>on good clinical practice issued by the Minister.</w:t>
      </w:r>
    </w:p>
    <w:p w:rsidR="004C50D4" w:rsidRDefault="004C50D4" w:rsidP="00C00B6C">
      <w:pPr>
        <w:spacing w:line="240" w:lineRule="atLeast"/>
        <w:jc w:val="both"/>
      </w:pPr>
      <w:r>
        <w:lastRenderedPageBreak/>
        <w:t xml:space="preserve">(2) Clinical trials of medicinal products </w:t>
      </w:r>
      <w:r w:rsidR="001137D5">
        <w:t>may</w:t>
      </w:r>
      <w:r>
        <w:t xml:space="preserve"> </w:t>
      </w:r>
      <w:r w:rsidR="001137D5">
        <w:t>only</w:t>
      </w:r>
      <w:r w:rsidR="001137D5">
        <w:t xml:space="preserve"> </w:t>
      </w:r>
      <w:r>
        <w:t xml:space="preserve">be conducted on the premises of the legal </w:t>
      </w:r>
      <w:r>
        <w:br/>
        <w:t xml:space="preserve">person referred to in Article 9 of this Act, with whom the applicant or </w:t>
      </w:r>
      <w:r w:rsidR="009C7526">
        <w:t>their</w:t>
      </w:r>
      <w:r>
        <w:t xml:space="preserve"> authorised </w:t>
      </w:r>
      <w:r>
        <w:br/>
        <w:t xml:space="preserve">representative established in the European Union has signed </w:t>
      </w:r>
      <w:r w:rsidR="009C7526">
        <w:t>a</w:t>
      </w:r>
      <w:r>
        <w:t xml:space="preserve"> clinical trial agreement.</w:t>
      </w:r>
    </w:p>
    <w:p w:rsidR="004C50D4" w:rsidRDefault="004C50D4" w:rsidP="00C00B6C">
      <w:pPr>
        <w:spacing w:line="240" w:lineRule="atLeast"/>
        <w:jc w:val="both"/>
      </w:pPr>
      <w:r>
        <w:t>(3) T</w:t>
      </w:r>
      <w:r w:rsidR="009C7526">
        <w:t>he t</w:t>
      </w:r>
      <w:r>
        <w:t xml:space="preserve">otal costs of the clinical trial and </w:t>
      </w:r>
      <w:r w:rsidR="009C7526">
        <w:t xml:space="preserve">the </w:t>
      </w:r>
      <w:r>
        <w:t xml:space="preserve">expenses of the applicant, including </w:t>
      </w:r>
      <w:r w:rsidR="001137D5">
        <w:t>the costs</w:t>
      </w:r>
      <w:r>
        <w:t xml:space="preserve"> of </w:t>
      </w:r>
      <w:r>
        <w:br/>
        <w:t xml:space="preserve">medical and other services incurred by the legal person referred to in Article 9, as well as </w:t>
      </w:r>
      <w:r>
        <w:br/>
        <w:t xml:space="preserve">compensation </w:t>
      </w:r>
      <w:r w:rsidR="001137D5">
        <w:t>for</w:t>
      </w:r>
      <w:r>
        <w:t xml:space="preserve"> </w:t>
      </w:r>
      <w:r w:rsidR="00D752AF">
        <w:t>tester</w:t>
      </w:r>
      <w:r>
        <w:t xml:space="preserve">s and subjects, shall be defined by the agreement referred to in </w:t>
      </w:r>
      <w:r>
        <w:br/>
        <w:t>paragraph 2 of this Article.</w:t>
      </w:r>
    </w:p>
    <w:p w:rsidR="004C50D4" w:rsidRDefault="004C50D4" w:rsidP="00C00B6C">
      <w:pPr>
        <w:spacing w:line="240" w:lineRule="atLeast"/>
        <w:jc w:val="both"/>
      </w:pPr>
      <w:r>
        <w:t xml:space="preserve">(4) The clinical trial sponsor shall pay </w:t>
      </w:r>
      <w:r w:rsidR="00235424">
        <w:t xml:space="preserve">the </w:t>
      </w:r>
      <w:r>
        <w:t xml:space="preserve">compensation </w:t>
      </w:r>
      <w:r w:rsidR="00235424">
        <w:t>for</w:t>
      </w:r>
      <w:r w:rsidR="001137D5">
        <w:t xml:space="preserve"> the</w:t>
      </w:r>
      <w:r>
        <w:t xml:space="preserve"> </w:t>
      </w:r>
      <w:r w:rsidR="00D752AF">
        <w:t>tester</w:t>
      </w:r>
      <w:r>
        <w:t>s and trial subjects</w:t>
      </w:r>
      <w:r w:rsidR="00235424">
        <w:t>,</w:t>
      </w:r>
      <w:r>
        <w:t xml:space="preserve"> </w:t>
      </w:r>
      <w:r>
        <w:br/>
        <w:t>referred to in paragraph 3 of this Article</w:t>
      </w:r>
      <w:r w:rsidR="00235424">
        <w:t>,</w:t>
      </w:r>
      <w:r>
        <w:t xml:space="preserve"> to the legal person with whom </w:t>
      </w:r>
      <w:r w:rsidR="008F50C3">
        <w:t xml:space="preserve">the </w:t>
      </w:r>
      <w:r w:rsidR="008F50C3">
        <w:br/>
        <w:t>clinical trial agreement was signed.</w:t>
      </w:r>
    </w:p>
    <w:p w:rsidR="004C50D4" w:rsidRDefault="004C50D4" w:rsidP="00C00B6C">
      <w:pPr>
        <w:spacing w:line="240" w:lineRule="atLeast"/>
        <w:jc w:val="both"/>
      </w:pPr>
      <w:r>
        <w:t xml:space="preserve">(5) Before the beginning of </w:t>
      </w:r>
      <w:r w:rsidR="008F50C3">
        <w:t>the</w:t>
      </w:r>
      <w:r>
        <w:t xml:space="preserve"> clinical trial, </w:t>
      </w:r>
      <w:r w:rsidR="008F50C3">
        <w:t xml:space="preserve">the </w:t>
      </w:r>
      <w:r>
        <w:t xml:space="preserve">clinical trial sponsors or their authorised </w:t>
      </w:r>
      <w:r>
        <w:br/>
        <w:t>representatives established in the European Union must be insured against liability for</w:t>
      </w:r>
      <w:r w:rsidR="008F50C3">
        <w:t xml:space="preserve"> </w:t>
      </w:r>
      <w:r w:rsidR="00235424">
        <w:t>any</w:t>
      </w:r>
      <w:r>
        <w:t xml:space="preserve"> injury, </w:t>
      </w:r>
      <w:r>
        <w:br/>
        <w:t>death, or treat</w:t>
      </w:r>
      <w:r w:rsidR="00235424">
        <w:t>ment required by</w:t>
      </w:r>
      <w:r>
        <w:t xml:space="preserve"> </w:t>
      </w:r>
      <w:r w:rsidR="00235424">
        <w:t xml:space="preserve">the </w:t>
      </w:r>
      <w:r>
        <w:t>trial subjects, related to the clinical trial.</w:t>
      </w:r>
    </w:p>
    <w:p w:rsidR="004C50D4" w:rsidRDefault="004C50D4" w:rsidP="00F70B12">
      <w:pPr>
        <w:spacing w:line="240" w:lineRule="atLeast"/>
        <w:jc w:val="center"/>
      </w:pPr>
      <w:r>
        <w:t>Article 19</w:t>
      </w:r>
    </w:p>
    <w:p w:rsidR="004C50D4" w:rsidRDefault="00235424" w:rsidP="00C00B6C">
      <w:pPr>
        <w:spacing w:line="240" w:lineRule="atLeast"/>
        <w:jc w:val="both"/>
      </w:pPr>
      <w:r>
        <w:t>(1) The Ministry shall en</w:t>
      </w:r>
      <w:r w:rsidR="004C50D4">
        <w:t xml:space="preserve">ter clinical trial data into the European </w:t>
      </w:r>
      <w:r w:rsidR="004C50D4">
        <w:br/>
        <w:t>database</w:t>
      </w:r>
      <w:r w:rsidR="008F50C3">
        <w:t xml:space="preserve"> on</w:t>
      </w:r>
      <w:r w:rsidR="008F50C3" w:rsidRPr="008F50C3">
        <w:t xml:space="preserve"> </w:t>
      </w:r>
      <w:r w:rsidR="008F50C3">
        <w:t>the following</w:t>
      </w:r>
      <w:r w:rsidR="004C50D4">
        <w:t>:</w:t>
      </w:r>
    </w:p>
    <w:p w:rsidR="004C50D4" w:rsidRDefault="004C50D4" w:rsidP="00C00B6C">
      <w:pPr>
        <w:spacing w:line="240" w:lineRule="atLeast"/>
        <w:jc w:val="both"/>
      </w:pPr>
      <w:r>
        <w:t xml:space="preserve">- </w:t>
      </w:r>
      <w:proofErr w:type="gramStart"/>
      <w:r>
        <w:t>applications</w:t>
      </w:r>
      <w:proofErr w:type="gramEnd"/>
      <w:r>
        <w:t xml:space="preserve"> </w:t>
      </w:r>
      <w:r w:rsidR="008F50C3">
        <w:t>submitted</w:t>
      </w:r>
      <w:r w:rsidR="008F50C3">
        <w:t xml:space="preserve"> </w:t>
      </w:r>
      <w:r>
        <w:t>for clinical trial authorisation,</w:t>
      </w:r>
    </w:p>
    <w:p w:rsidR="004C50D4" w:rsidRDefault="004C50D4" w:rsidP="00C00B6C">
      <w:pPr>
        <w:spacing w:line="240" w:lineRule="atLeast"/>
        <w:jc w:val="both"/>
      </w:pPr>
      <w:r>
        <w:t xml:space="preserve">- </w:t>
      </w:r>
      <w:proofErr w:type="gramStart"/>
      <w:r>
        <w:t>amendments</w:t>
      </w:r>
      <w:proofErr w:type="gramEnd"/>
      <w:r>
        <w:t xml:space="preserve"> to </w:t>
      </w:r>
      <w:r w:rsidR="008F50C3">
        <w:t xml:space="preserve">the </w:t>
      </w:r>
      <w:r>
        <w:t>applications referred to in subparagraph 1 of this paragraph,</w:t>
      </w:r>
    </w:p>
    <w:p w:rsidR="004C50D4" w:rsidRDefault="004C50D4" w:rsidP="00C00B6C">
      <w:pPr>
        <w:spacing w:line="240" w:lineRule="atLeast"/>
        <w:jc w:val="both"/>
      </w:pPr>
      <w:r>
        <w:t xml:space="preserve">- </w:t>
      </w:r>
      <w:proofErr w:type="gramStart"/>
      <w:r>
        <w:t>amendments</w:t>
      </w:r>
      <w:proofErr w:type="gramEnd"/>
      <w:r>
        <w:t xml:space="preserve"> to trial protocols,</w:t>
      </w:r>
    </w:p>
    <w:p w:rsidR="004C50D4" w:rsidRDefault="004C50D4" w:rsidP="00C00B6C">
      <w:pPr>
        <w:spacing w:line="240" w:lineRule="atLeast"/>
        <w:jc w:val="both"/>
      </w:pPr>
      <w:r>
        <w:t xml:space="preserve">- </w:t>
      </w:r>
      <w:proofErr w:type="gramStart"/>
      <w:r>
        <w:t>positive</w:t>
      </w:r>
      <w:proofErr w:type="gramEnd"/>
      <w:r>
        <w:t xml:space="preserve"> opinions given by the Central Ethics Committee,</w:t>
      </w:r>
    </w:p>
    <w:p w:rsidR="004C50D4" w:rsidRDefault="004C50D4" w:rsidP="00C00B6C">
      <w:pPr>
        <w:spacing w:line="240" w:lineRule="atLeast"/>
        <w:jc w:val="both"/>
      </w:pPr>
      <w:r>
        <w:t xml:space="preserve">- </w:t>
      </w:r>
      <w:proofErr w:type="gramStart"/>
      <w:r w:rsidR="00235424">
        <w:t>the</w:t>
      </w:r>
      <w:proofErr w:type="gramEnd"/>
      <w:r w:rsidR="00235424">
        <w:t xml:space="preserve"> </w:t>
      </w:r>
      <w:r>
        <w:t>completion of clinical trials, and</w:t>
      </w:r>
    </w:p>
    <w:p w:rsidR="004C50D4" w:rsidRDefault="008F50C3" w:rsidP="00C00B6C">
      <w:pPr>
        <w:spacing w:line="240" w:lineRule="atLeast"/>
        <w:jc w:val="both"/>
      </w:pPr>
      <w:r>
        <w:t>-</w:t>
      </w:r>
      <w:r w:rsidR="004C50D4">
        <w:t xml:space="preserve"> </w:t>
      </w:r>
      <w:proofErr w:type="gramStart"/>
      <w:r w:rsidR="00235424">
        <w:t>any</w:t>
      </w:r>
      <w:proofErr w:type="gramEnd"/>
      <w:r w:rsidR="00235424">
        <w:t xml:space="preserve"> </w:t>
      </w:r>
      <w:r w:rsidR="004C50D4">
        <w:t>supervision</w:t>
      </w:r>
      <w:r>
        <w:t xml:space="preserve"> undertaken of the observance of</w:t>
      </w:r>
      <w:r w:rsidR="004C50D4">
        <w:t xml:space="preserve"> good clinical practice.</w:t>
      </w:r>
    </w:p>
    <w:p w:rsidR="004C50D4" w:rsidRDefault="004C50D4" w:rsidP="00C00B6C">
      <w:pPr>
        <w:spacing w:line="240" w:lineRule="atLeast"/>
        <w:jc w:val="both"/>
      </w:pPr>
      <w:r>
        <w:t xml:space="preserve">(2) In addition to </w:t>
      </w:r>
      <w:r w:rsidR="008F50C3">
        <w:t xml:space="preserve">the </w:t>
      </w:r>
      <w:r>
        <w:t xml:space="preserve">data referred to in paragraph 1 of this Article, the Ministry shall also submit </w:t>
      </w:r>
      <w:r>
        <w:br/>
        <w:t xml:space="preserve">other information on clinical trials in response to </w:t>
      </w:r>
      <w:r w:rsidR="008F50C3">
        <w:t xml:space="preserve">a </w:t>
      </w:r>
      <w:r>
        <w:t>reasoned requ</w:t>
      </w:r>
      <w:r w:rsidR="008F50C3">
        <w:t>est by</w:t>
      </w:r>
      <w:r>
        <w:t xml:space="preserve"> a Member State, </w:t>
      </w:r>
      <w:r>
        <w:br/>
        <w:t>the EMA or the European Commission.</w:t>
      </w:r>
    </w:p>
    <w:p w:rsidR="004C50D4" w:rsidRDefault="004C50D4" w:rsidP="00F70B12">
      <w:pPr>
        <w:spacing w:line="240" w:lineRule="atLeast"/>
        <w:jc w:val="center"/>
      </w:pPr>
      <w:r>
        <w:t>Article 20</w:t>
      </w:r>
    </w:p>
    <w:p w:rsidR="004C50D4" w:rsidRDefault="004C50D4" w:rsidP="00C00B6C">
      <w:pPr>
        <w:spacing w:line="240" w:lineRule="atLeast"/>
        <w:jc w:val="both"/>
      </w:pPr>
      <w:r>
        <w:t xml:space="preserve">(1) The Ministry may suspend a clinical trial or cancel </w:t>
      </w:r>
      <w:r w:rsidR="00235424">
        <w:t xml:space="preserve">its </w:t>
      </w:r>
      <w:r w:rsidR="008F50C3">
        <w:t>authorisation</w:t>
      </w:r>
      <w:r w:rsidR="008F50C3">
        <w:t xml:space="preserve"> for </w:t>
      </w:r>
      <w:r>
        <w:t>a clinical trial whe</w:t>
      </w:r>
      <w:r w:rsidR="008F50C3">
        <w:t>n</w:t>
      </w:r>
      <w:r w:rsidR="00235424">
        <w:t>,</w:t>
      </w:r>
      <w:r>
        <w:t xml:space="preserve"> on </w:t>
      </w:r>
      <w:r>
        <w:br/>
        <w:t xml:space="preserve">the </w:t>
      </w:r>
      <w:r w:rsidR="00235424">
        <w:t xml:space="preserve">basis </w:t>
      </w:r>
      <w:r>
        <w:t xml:space="preserve">of verified facts it determines that the conditions </w:t>
      </w:r>
      <w:r w:rsidR="008F50C3">
        <w:t>on the basis of</w:t>
      </w:r>
      <w:r>
        <w:t xml:space="preserve"> which the authorisation </w:t>
      </w:r>
      <w:r>
        <w:br/>
        <w:t xml:space="preserve">was granted </w:t>
      </w:r>
      <w:r w:rsidR="008F50C3">
        <w:t xml:space="preserve">no longer </w:t>
      </w:r>
      <w:r>
        <w:t>exist, or in</w:t>
      </w:r>
      <w:r w:rsidR="008F50C3">
        <w:t xml:space="preserve"> the</w:t>
      </w:r>
      <w:r>
        <w:t xml:space="preserve"> case of </w:t>
      </w:r>
      <w:r w:rsidR="00235424">
        <w:t xml:space="preserve">any </w:t>
      </w:r>
      <w:r>
        <w:t>doubt regarding</w:t>
      </w:r>
      <w:r w:rsidR="008F50C3">
        <w:t xml:space="preserve"> the</w:t>
      </w:r>
      <w:r>
        <w:t xml:space="preserve"> safety of </w:t>
      </w:r>
      <w:r w:rsidR="008F50C3">
        <w:t xml:space="preserve">the </w:t>
      </w:r>
      <w:r>
        <w:t xml:space="preserve">subjects or </w:t>
      </w:r>
      <w:r>
        <w:br/>
      </w:r>
      <w:r w:rsidR="008F50C3">
        <w:t xml:space="preserve">the </w:t>
      </w:r>
      <w:r>
        <w:t xml:space="preserve">scientific value of the clinical trial, </w:t>
      </w:r>
      <w:r w:rsidR="00235424">
        <w:t xml:space="preserve">and </w:t>
      </w:r>
      <w:r>
        <w:t xml:space="preserve">the Ministry shall inform the clinical trial </w:t>
      </w:r>
      <w:r>
        <w:br/>
        <w:t xml:space="preserve">sponsor or </w:t>
      </w:r>
      <w:r w:rsidR="008F50C3">
        <w:t>their</w:t>
      </w:r>
      <w:r>
        <w:t xml:space="preserve"> representative, the Central Ethics Committee, the EMA or the European </w:t>
      </w:r>
      <w:r>
        <w:br/>
        <w:t>Commission</w:t>
      </w:r>
      <w:r w:rsidR="00235424">
        <w:t xml:space="preserve"> of the suspension</w:t>
      </w:r>
      <w:r>
        <w:t>.</w:t>
      </w:r>
    </w:p>
    <w:p w:rsidR="004C50D4" w:rsidRDefault="004C50D4" w:rsidP="00C00B6C">
      <w:pPr>
        <w:spacing w:line="240" w:lineRule="atLeast"/>
        <w:jc w:val="both"/>
      </w:pPr>
      <w:r>
        <w:t xml:space="preserve">(2) Before making the decision referred to in paragraph 1 of this Article, the Ministry shall </w:t>
      </w:r>
      <w:r>
        <w:br/>
        <w:t>requ</w:t>
      </w:r>
      <w:r w:rsidR="008F50C3">
        <w:t>est</w:t>
      </w:r>
      <w:r>
        <w:t xml:space="preserve"> a written declaration or explanation </w:t>
      </w:r>
      <w:r w:rsidR="008F50C3">
        <w:t>by</w:t>
      </w:r>
      <w:r>
        <w:t xml:space="preserve"> the sponsor, or </w:t>
      </w:r>
      <w:r w:rsidR="008F50C3">
        <w:t>their</w:t>
      </w:r>
      <w:r>
        <w:t xml:space="preserve"> representative and/or the </w:t>
      </w:r>
      <w:r>
        <w:br/>
      </w:r>
      <w:r w:rsidR="00D752AF">
        <w:t>tester</w:t>
      </w:r>
      <w:r>
        <w:t>.</w:t>
      </w:r>
    </w:p>
    <w:p w:rsidR="004C50D4" w:rsidRDefault="004C50D4" w:rsidP="00C00B6C">
      <w:pPr>
        <w:spacing w:line="240" w:lineRule="atLeast"/>
        <w:jc w:val="both"/>
      </w:pPr>
      <w:r>
        <w:t xml:space="preserve">(3) The declaration/explanation referred to in paragraph 2 of this Article shall be provided </w:t>
      </w:r>
      <w:r>
        <w:br/>
        <w:t>within seven days from the date of receipt of the Ministry's requ</w:t>
      </w:r>
      <w:r w:rsidR="008F50C3">
        <w:t>est</w:t>
      </w:r>
      <w:r>
        <w:t xml:space="preserve">, except in </w:t>
      </w:r>
      <w:r w:rsidR="008F50C3">
        <w:t xml:space="preserve">the </w:t>
      </w:r>
      <w:r>
        <w:t xml:space="preserve">case of an </w:t>
      </w:r>
      <w:r>
        <w:br/>
        <w:t xml:space="preserve">immediate and significant risk. </w:t>
      </w:r>
    </w:p>
    <w:p w:rsidR="004C50D4" w:rsidRDefault="004C50D4" w:rsidP="00F70B12">
      <w:pPr>
        <w:spacing w:line="240" w:lineRule="atLeast"/>
        <w:jc w:val="center"/>
      </w:pPr>
      <w:r>
        <w:t>Article 21</w:t>
      </w:r>
    </w:p>
    <w:p w:rsidR="00344ADD" w:rsidRDefault="004C50D4" w:rsidP="00C00B6C">
      <w:pPr>
        <w:spacing w:line="240" w:lineRule="atLeast"/>
        <w:jc w:val="both"/>
      </w:pPr>
      <w:r>
        <w:lastRenderedPageBreak/>
        <w:t xml:space="preserve">In the process of development and manufacture of </w:t>
      </w:r>
      <w:r w:rsidR="008F50C3">
        <w:t>the</w:t>
      </w:r>
      <w:r>
        <w:t xml:space="preserve"> medicinal product</w:t>
      </w:r>
      <w:r w:rsidR="008F50C3">
        <w:t xml:space="preserve"> being tested</w:t>
      </w:r>
      <w:r>
        <w:t xml:space="preserve">, while </w:t>
      </w:r>
      <w:r>
        <w:br/>
        <w:t>drafting the documentation relat</w:t>
      </w:r>
      <w:r w:rsidR="008F50C3">
        <w:t>ed</w:t>
      </w:r>
      <w:r>
        <w:t xml:space="preserve"> to clinical trials, and in the course of</w:t>
      </w:r>
      <w:r w:rsidR="008F50C3">
        <w:t xml:space="preserve"> the</w:t>
      </w:r>
      <w:r>
        <w:t xml:space="preserve"> clinical trials, the </w:t>
      </w:r>
      <w:r>
        <w:br/>
        <w:t xml:space="preserve">clinical trial sponsors and </w:t>
      </w:r>
      <w:r w:rsidR="00D752AF">
        <w:t>tester</w:t>
      </w:r>
      <w:r>
        <w:t xml:space="preserve">s shall comply with the provisions of this Act and </w:t>
      </w:r>
      <w:r>
        <w:br/>
        <w:t xml:space="preserve">observe the </w:t>
      </w:r>
      <w:r w:rsidR="00D752AF">
        <w:t>r</w:t>
      </w:r>
      <w:r>
        <w:t>egulations</w:t>
      </w:r>
      <w:r w:rsidR="00D752AF">
        <w:t xml:space="preserve"> arising from it,</w:t>
      </w:r>
      <w:r>
        <w:t xml:space="preserve"> as well as the principles and standards laid down in</w:t>
      </w:r>
      <w:r w:rsidR="00D752AF">
        <w:t xml:space="preserve"> the</w:t>
      </w:r>
      <w:r>
        <w:t xml:space="preserve"> relevant guidelines of the European Commission or the EMA.</w:t>
      </w:r>
      <w:bookmarkStart w:id="0" w:name="_GoBack"/>
      <w:bookmarkEnd w:id="0"/>
    </w:p>
    <w:sectPr w:rsidR="00344A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ADD"/>
    <w:rsid w:val="001137D5"/>
    <w:rsid w:val="00142181"/>
    <w:rsid w:val="001E19BD"/>
    <w:rsid w:val="00235424"/>
    <w:rsid w:val="002A2730"/>
    <w:rsid w:val="00344ADD"/>
    <w:rsid w:val="00486371"/>
    <w:rsid w:val="004B3B36"/>
    <w:rsid w:val="004C50D4"/>
    <w:rsid w:val="00590BCB"/>
    <w:rsid w:val="0077287A"/>
    <w:rsid w:val="007F133F"/>
    <w:rsid w:val="008F50C3"/>
    <w:rsid w:val="00906E33"/>
    <w:rsid w:val="009C7526"/>
    <w:rsid w:val="009E73A4"/>
    <w:rsid w:val="009F2EA7"/>
    <w:rsid w:val="00A25C0C"/>
    <w:rsid w:val="00BD6E72"/>
    <w:rsid w:val="00BE2994"/>
    <w:rsid w:val="00C00B6C"/>
    <w:rsid w:val="00C10FA1"/>
    <w:rsid w:val="00CF68FD"/>
    <w:rsid w:val="00D37865"/>
    <w:rsid w:val="00D752AF"/>
    <w:rsid w:val="00F70B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730"/>
    <w:pPr>
      <w:ind w:left="720"/>
      <w:contextualSpacing/>
    </w:pPr>
  </w:style>
  <w:style w:type="character" w:styleId="Hyperlink">
    <w:name w:val="Hyperlink"/>
    <w:basedOn w:val="DefaultParagraphFont"/>
    <w:uiPriority w:val="99"/>
    <w:unhideWhenUsed/>
    <w:rsid w:val="001421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730"/>
    <w:pPr>
      <w:ind w:left="720"/>
      <w:contextualSpacing/>
    </w:pPr>
  </w:style>
  <w:style w:type="character" w:styleId="Hyperlink">
    <w:name w:val="Hyperlink"/>
    <w:basedOn w:val="DefaultParagraphFont"/>
    <w:uiPriority w:val="99"/>
    <w:unhideWhenUsed/>
    <w:rsid w:val="001421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26867">
      <w:bodyDiv w:val="1"/>
      <w:marLeft w:val="0"/>
      <w:marRight w:val="0"/>
      <w:marTop w:val="0"/>
      <w:marBottom w:val="0"/>
      <w:divBdr>
        <w:top w:val="none" w:sz="0" w:space="0" w:color="auto"/>
        <w:left w:val="none" w:sz="0" w:space="0" w:color="auto"/>
        <w:bottom w:val="none" w:sz="0" w:space="0" w:color="auto"/>
        <w:right w:val="none" w:sz="0" w:space="0" w:color="auto"/>
      </w:divBdr>
      <w:divsChild>
        <w:div w:id="417793273">
          <w:marLeft w:val="0"/>
          <w:marRight w:val="0"/>
          <w:marTop w:val="0"/>
          <w:marBottom w:val="0"/>
          <w:divBdr>
            <w:top w:val="none" w:sz="0" w:space="0" w:color="auto"/>
            <w:left w:val="none" w:sz="0" w:space="0" w:color="auto"/>
            <w:bottom w:val="none" w:sz="0" w:space="0" w:color="auto"/>
            <w:right w:val="none" w:sz="0" w:space="0" w:color="auto"/>
          </w:divBdr>
          <w:divsChild>
            <w:div w:id="1221013218">
              <w:marLeft w:val="0"/>
              <w:marRight w:val="0"/>
              <w:marTop w:val="0"/>
              <w:marBottom w:val="0"/>
              <w:divBdr>
                <w:top w:val="none" w:sz="0" w:space="0" w:color="auto"/>
                <w:left w:val="none" w:sz="0" w:space="0" w:color="auto"/>
                <w:bottom w:val="none" w:sz="0" w:space="0" w:color="auto"/>
                <w:right w:val="none" w:sz="0" w:space="0" w:color="auto"/>
              </w:divBdr>
              <w:divsChild>
                <w:div w:id="349307592">
                  <w:marLeft w:val="0"/>
                  <w:marRight w:val="0"/>
                  <w:marTop w:val="0"/>
                  <w:marBottom w:val="0"/>
                  <w:divBdr>
                    <w:top w:val="none" w:sz="0" w:space="0" w:color="auto"/>
                    <w:left w:val="none" w:sz="0" w:space="0" w:color="auto"/>
                    <w:bottom w:val="none" w:sz="0" w:space="0" w:color="auto"/>
                    <w:right w:val="none" w:sz="0" w:space="0" w:color="auto"/>
                  </w:divBdr>
                  <w:divsChild>
                    <w:div w:id="1811048376">
                      <w:marLeft w:val="0"/>
                      <w:marRight w:val="0"/>
                      <w:marTop w:val="0"/>
                      <w:marBottom w:val="0"/>
                      <w:divBdr>
                        <w:top w:val="single" w:sz="6" w:space="0" w:color="E4E4E6"/>
                        <w:left w:val="none" w:sz="0" w:space="0" w:color="auto"/>
                        <w:bottom w:val="none" w:sz="0" w:space="0" w:color="auto"/>
                        <w:right w:val="none" w:sz="0" w:space="0" w:color="auto"/>
                      </w:divBdr>
                      <w:divsChild>
                        <w:div w:id="523328671">
                          <w:marLeft w:val="0"/>
                          <w:marRight w:val="0"/>
                          <w:marTop w:val="0"/>
                          <w:marBottom w:val="0"/>
                          <w:divBdr>
                            <w:top w:val="single" w:sz="6" w:space="0" w:color="E4E4E6"/>
                            <w:left w:val="none" w:sz="0" w:space="0" w:color="auto"/>
                            <w:bottom w:val="none" w:sz="0" w:space="0" w:color="auto"/>
                            <w:right w:val="none" w:sz="0" w:space="0" w:color="auto"/>
                          </w:divBdr>
                          <w:divsChild>
                            <w:div w:id="442924485">
                              <w:marLeft w:val="0"/>
                              <w:marRight w:val="1500"/>
                              <w:marTop w:val="100"/>
                              <w:marBottom w:val="100"/>
                              <w:divBdr>
                                <w:top w:val="none" w:sz="0" w:space="0" w:color="auto"/>
                                <w:left w:val="none" w:sz="0" w:space="0" w:color="auto"/>
                                <w:bottom w:val="none" w:sz="0" w:space="0" w:color="auto"/>
                                <w:right w:val="none" w:sz="0" w:space="0" w:color="auto"/>
                              </w:divBdr>
                              <w:divsChild>
                                <w:div w:id="2074430036">
                                  <w:marLeft w:val="0"/>
                                  <w:marRight w:val="0"/>
                                  <w:marTop w:val="300"/>
                                  <w:marBottom w:val="450"/>
                                  <w:divBdr>
                                    <w:top w:val="none" w:sz="0" w:space="0" w:color="auto"/>
                                    <w:left w:val="none" w:sz="0" w:space="0" w:color="auto"/>
                                    <w:bottom w:val="none" w:sz="0" w:space="0" w:color="auto"/>
                                    <w:right w:val="none" w:sz="0" w:space="0" w:color="auto"/>
                                  </w:divBdr>
                                  <w:divsChild>
                                    <w:div w:id="1455250351">
                                      <w:marLeft w:val="0"/>
                                      <w:marRight w:val="0"/>
                                      <w:marTop w:val="0"/>
                                      <w:marBottom w:val="0"/>
                                      <w:divBdr>
                                        <w:top w:val="none" w:sz="0" w:space="0" w:color="auto"/>
                                        <w:left w:val="none" w:sz="0" w:space="0" w:color="auto"/>
                                        <w:bottom w:val="none" w:sz="0" w:space="0" w:color="auto"/>
                                        <w:right w:val="none" w:sz="0" w:space="0" w:color="auto"/>
                                      </w:divBdr>
                                      <w:divsChild>
                                        <w:div w:id="844587697">
                                          <w:marLeft w:val="0"/>
                                          <w:marRight w:val="0"/>
                                          <w:marTop w:val="0"/>
                                          <w:marBottom w:val="0"/>
                                          <w:divBdr>
                                            <w:top w:val="none" w:sz="0" w:space="0" w:color="auto"/>
                                            <w:left w:val="none" w:sz="0" w:space="0" w:color="auto"/>
                                            <w:bottom w:val="none" w:sz="0" w:space="0" w:color="auto"/>
                                            <w:right w:val="none" w:sz="0" w:space="0" w:color="auto"/>
                                          </w:divBdr>
                                          <w:divsChild>
                                            <w:div w:id="224032567">
                                              <w:marLeft w:val="0"/>
                                              <w:marRight w:val="0"/>
                                              <w:marTop w:val="0"/>
                                              <w:marBottom w:val="0"/>
                                              <w:divBdr>
                                                <w:top w:val="none" w:sz="0" w:space="0" w:color="auto"/>
                                                <w:left w:val="none" w:sz="0" w:space="0" w:color="auto"/>
                                                <w:bottom w:val="none" w:sz="0" w:space="0" w:color="auto"/>
                                                <w:right w:val="none" w:sz="0" w:space="0" w:color="auto"/>
                                              </w:divBdr>
                                              <w:divsChild>
                                                <w:div w:id="20819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249487">
      <w:bodyDiv w:val="1"/>
      <w:marLeft w:val="0"/>
      <w:marRight w:val="0"/>
      <w:marTop w:val="0"/>
      <w:marBottom w:val="0"/>
      <w:divBdr>
        <w:top w:val="none" w:sz="0" w:space="0" w:color="auto"/>
        <w:left w:val="none" w:sz="0" w:space="0" w:color="auto"/>
        <w:bottom w:val="none" w:sz="0" w:space="0" w:color="auto"/>
        <w:right w:val="none" w:sz="0" w:space="0" w:color="auto"/>
      </w:divBdr>
      <w:divsChild>
        <w:div w:id="1871606726">
          <w:marLeft w:val="547"/>
          <w:marRight w:val="0"/>
          <w:marTop w:val="77"/>
          <w:marBottom w:val="0"/>
          <w:divBdr>
            <w:top w:val="none" w:sz="0" w:space="0" w:color="auto"/>
            <w:left w:val="none" w:sz="0" w:space="0" w:color="auto"/>
            <w:bottom w:val="none" w:sz="0" w:space="0" w:color="auto"/>
            <w:right w:val="none" w:sz="0" w:space="0" w:color="auto"/>
          </w:divBdr>
        </w:div>
        <w:div w:id="1313484150">
          <w:marLeft w:val="547"/>
          <w:marRight w:val="0"/>
          <w:marTop w:val="77"/>
          <w:marBottom w:val="0"/>
          <w:divBdr>
            <w:top w:val="none" w:sz="0" w:space="0" w:color="auto"/>
            <w:left w:val="none" w:sz="0" w:space="0" w:color="auto"/>
            <w:bottom w:val="none" w:sz="0" w:space="0" w:color="auto"/>
            <w:right w:val="none" w:sz="0" w:space="0" w:color="auto"/>
          </w:divBdr>
        </w:div>
        <w:div w:id="1590196989">
          <w:marLeft w:val="547"/>
          <w:marRight w:val="0"/>
          <w:marTop w:val="77"/>
          <w:marBottom w:val="0"/>
          <w:divBdr>
            <w:top w:val="none" w:sz="0" w:space="0" w:color="auto"/>
            <w:left w:val="none" w:sz="0" w:space="0" w:color="auto"/>
            <w:bottom w:val="none" w:sz="0" w:space="0" w:color="auto"/>
            <w:right w:val="none" w:sz="0" w:space="0" w:color="auto"/>
          </w:divBdr>
        </w:div>
        <w:div w:id="1784307316">
          <w:marLeft w:val="547"/>
          <w:marRight w:val="0"/>
          <w:marTop w:val="77"/>
          <w:marBottom w:val="0"/>
          <w:divBdr>
            <w:top w:val="none" w:sz="0" w:space="0" w:color="auto"/>
            <w:left w:val="none" w:sz="0" w:space="0" w:color="auto"/>
            <w:bottom w:val="none" w:sz="0" w:space="0" w:color="auto"/>
            <w:right w:val="none" w:sz="0" w:space="0" w:color="auto"/>
          </w:divBdr>
        </w:div>
        <w:div w:id="307169649">
          <w:marLeft w:val="547"/>
          <w:marRight w:val="0"/>
          <w:marTop w:val="77"/>
          <w:marBottom w:val="0"/>
          <w:divBdr>
            <w:top w:val="none" w:sz="0" w:space="0" w:color="auto"/>
            <w:left w:val="none" w:sz="0" w:space="0" w:color="auto"/>
            <w:bottom w:val="none" w:sz="0" w:space="0" w:color="auto"/>
            <w:right w:val="none" w:sz="0" w:space="0" w:color="auto"/>
          </w:divBdr>
        </w:div>
        <w:div w:id="942230693">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lmed.hr/O-HALMED-u/Sredisnje-eticko-povjerenstvo-SE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Janet</cp:lastModifiedBy>
  <cp:revision>8</cp:revision>
  <dcterms:created xsi:type="dcterms:W3CDTF">2018-03-05T13:36:00Z</dcterms:created>
  <dcterms:modified xsi:type="dcterms:W3CDTF">2018-03-05T14:04:00Z</dcterms:modified>
</cp:coreProperties>
</file>