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6227"/>
        <w:gridCol w:w="1525"/>
      </w:tblGrid>
      <w:tr w:rsidR="00866341" w:rsidRPr="00A95D67" w:rsidTr="00A95D67">
        <w:tc>
          <w:tcPr>
            <w:tcW w:w="1536" w:type="dxa"/>
          </w:tcPr>
          <w:p w:rsidR="00866341" w:rsidRPr="00A95D67" w:rsidRDefault="001B42F0" w:rsidP="00A95D67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Picture 1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866341" w:rsidRPr="00A95D67" w:rsidRDefault="00866341" w:rsidP="00A95D67">
            <w:pPr>
              <w:spacing w:after="0" w:line="240" w:lineRule="auto"/>
              <w:jc w:val="center"/>
            </w:pPr>
            <w:r w:rsidRPr="00A95D67">
              <w:t>SVEUČILIŠTE U ZAGREBU</w:t>
            </w:r>
          </w:p>
          <w:p w:rsidR="00866341" w:rsidRPr="00A95D67" w:rsidRDefault="00866341" w:rsidP="00A95D67">
            <w:pPr>
              <w:spacing w:after="0" w:line="240" w:lineRule="auto"/>
              <w:jc w:val="center"/>
            </w:pPr>
            <w:r w:rsidRPr="00A95D67">
              <w:t>MEDICINSKI FAKULTET</w:t>
            </w:r>
          </w:p>
          <w:p w:rsidR="00F85FA9" w:rsidRPr="00A95D67" w:rsidRDefault="00F85FA9" w:rsidP="00A95D67">
            <w:pPr>
              <w:spacing w:after="0" w:line="240" w:lineRule="auto"/>
              <w:jc w:val="center"/>
            </w:pPr>
          </w:p>
        </w:tc>
        <w:tc>
          <w:tcPr>
            <w:tcW w:w="1525" w:type="dxa"/>
          </w:tcPr>
          <w:p w:rsidR="00866341" w:rsidRPr="00A95D67" w:rsidRDefault="001B42F0" w:rsidP="00A95D67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81050" cy="809625"/>
                  <wp:effectExtent l="19050" t="0" r="0" b="0"/>
                  <wp:docPr id="2" name="Picture 1" descr="grb nov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nov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22F" w:rsidRPr="00A95D67" w:rsidTr="00132125">
        <w:tc>
          <w:tcPr>
            <w:tcW w:w="9288" w:type="dxa"/>
            <w:gridSpan w:val="3"/>
          </w:tcPr>
          <w:p w:rsidR="0059322F" w:rsidRPr="00A95D67" w:rsidRDefault="0059322F" w:rsidP="00A95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57DF6" w:rsidRPr="00866341" w:rsidRDefault="00057DF6" w:rsidP="00866341">
      <w:pPr>
        <w:spacing w:line="240" w:lineRule="auto"/>
        <w:rPr>
          <w:sz w:val="2"/>
          <w:szCs w:val="2"/>
        </w:rPr>
      </w:pPr>
    </w:p>
    <w:p w:rsidR="0059322F" w:rsidRDefault="0059322F" w:rsidP="0059322F">
      <w:pPr>
        <w:jc w:val="center"/>
        <w:rPr>
          <w:b/>
          <w:color w:val="000000" w:themeColor="text1"/>
          <w:lang w:val="hr-HR"/>
        </w:rPr>
      </w:pPr>
    </w:p>
    <w:p w:rsidR="0059322F" w:rsidRDefault="0059322F" w:rsidP="0059322F">
      <w:pPr>
        <w:jc w:val="center"/>
        <w:rPr>
          <w:b/>
          <w:color w:val="000000" w:themeColor="text1"/>
          <w:lang w:val="hr-HR"/>
        </w:rPr>
      </w:pPr>
    </w:p>
    <w:p w:rsidR="0059322F" w:rsidRDefault="0059322F" w:rsidP="0059322F">
      <w:pPr>
        <w:jc w:val="center"/>
        <w:rPr>
          <w:b/>
          <w:color w:val="000000" w:themeColor="text1"/>
          <w:lang w:val="hr-HR"/>
        </w:rPr>
      </w:pPr>
    </w:p>
    <w:p w:rsidR="0059322F" w:rsidRDefault="0059322F" w:rsidP="0059322F">
      <w:pPr>
        <w:jc w:val="center"/>
        <w:rPr>
          <w:b/>
          <w:color w:val="000000" w:themeColor="text1"/>
          <w:lang w:val="hr-HR"/>
        </w:rPr>
      </w:pPr>
    </w:p>
    <w:p w:rsidR="0059322F" w:rsidRDefault="0059322F" w:rsidP="0059322F">
      <w:pPr>
        <w:jc w:val="center"/>
        <w:rPr>
          <w:b/>
          <w:color w:val="000000" w:themeColor="text1"/>
          <w:lang w:val="hr-HR"/>
        </w:rPr>
      </w:pPr>
    </w:p>
    <w:p w:rsidR="0059322F" w:rsidRPr="00A27968" w:rsidRDefault="0059322F" w:rsidP="0059322F">
      <w:pPr>
        <w:jc w:val="center"/>
        <w:rPr>
          <w:b/>
          <w:color w:val="000000" w:themeColor="text1"/>
          <w:sz w:val="28"/>
          <w:szCs w:val="28"/>
          <w:lang w:val="hr-HR"/>
        </w:rPr>
      </w:pPr>
    </w:p>
    <w:p w:rsidR="0059322F" w:rsidRPr="00A27968" w:rsidRDefault="0059322F" w:rsidP="0059322F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A27968">
        <w:rPr>
          <w:b/>
          <w:color w:val="000000" w:themeColor="text1"/>
          <w:sz w:val="28"/>
          <w:szCs w:val="28"/>
          <w:lang w:val="hr-HR"/>
        </w:rPr>
        <w:t>OBRAZLOŽENJE UZ FINANCIJSKI PLAN za 2015. GODINU</w:t>
      </w:r>
    </w:p>
    <w:p w:rsidR="0059322F" w:rsidRPr="00A27968" w:rsidRDefault="0059322F" w:rsidP="0059322F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A27968">
        <w:rPr>
          <w:b/>
          <w:color w:val="000000" w:themeColor="text1"/>
          <w:sz w:val="28"/>
          <w:szCs w:val="28"/>
          <w:lang w:val="hr-HR"/>
        </w:rPr>
        <w:t>(Projekcija za 2016. i 2017.godinu)</w:t>
      </w: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sdt>
      <w:sdtPr>
        <w:rPr>
          <w:rFonts w:ascii="Calibri" w:eastAsia="Calibri" w:hAnsi="Calibri" w:cs="Times New Roman"/>
          <w:b w:val="0"/>
          <w:bCs w:val="0"/>
          <w:sz w:val="22"/>
          <w:szCs w:val="22"/>
          <w:lang w:bidi="ar-SA"/>
        </w:rPr>
        <w:id w:val="445656060"/>
        <w:docPartObj>
          <w:docPartGallery w:val="Table of Contents"/>
          <w:docPartUnique/>
        </w:docPartObj>
      </w:sdtPr>
      <w:sdtEndPr>
        <w:rPr>
          <w:lang w:val="hr-HR"/>
        </w:rPr>
      </w:sdtEndPr>
      <w:sdtContent>
        <w:p w:rsidR="0059322F" w:rsidRDefault="0059322F" w:rsidP="0059322F">
          <w:pPr>
            <w:pStyle w:val="TOCHeading"/>
            <w:rPr>
              <w:rFonts w:asciiTheme="minorHAnsi" w:hAnsiTheme="minorHAnsi"/>
            </w:rPr>
          </w:pPr>
          <w:r w:rsidRPr="00A27968">
            <w:rPr>
              <w:rFonts w:asciiTheme="minorHAnsi" w:hAnsiTheme="minorHAnsi"/>
            </w:rPr>
            <w:t>SADRŽAJ</w:t>
          </w:r>
        </w:p>
        <w:p w:rsidR="0059322F" w:rsidRPr="00A27968" w:rsidRDefault="0059322F" w:rsidP="0059322F"/>
        <w:p w:rsidR="0059322F" w:rsidRDefault="00785FEC" w:rsidP="0059322F">
          <w:pPr>
            <w:pStyle w:val="TOC1"/>
            <w:tabs>
              <w:tab w:val="right" w:leader="dot" w:pos="9062"/>
            </w:tabs>
            <w:rPr>
              <w:noProof/>
            </w:rPr>
          </w:pPr>
          <w:r w:rsidRPr="00785FEC">
            <w:rPr>
              <w:lang w:val="hr-HR"/>
            </w:rPr>
            <w:fldChar w:fldCharType="begin"/>
          </w:r>
          <w:r w:rsidR="0059322F">
            <w:rPr>
              <w:lang w:val="hr-HR"/>
            </w:rPr>
            <w:instrText xml:space="preserve"> TOC \o "1-3" \h \z \u </w:instrText>
          </w:r>
          <w:r w:rsidRPr="00785FEC">
            <w:rPr>
              <w:lang w:val="hr-HR"/>
            </w:rPr>
            <w:fldChar w:fldCharType="separate"/>
          </w:r>
          <w:hyperlink w:anchor="_Toc406590760" w:history="1">
            <w:r w:rsidR="0059322F" w:rsidRPr="0006333C">
              <w:rPr>
                <w:rStyle w:val="Hyperlink"/>
                <w:noProof/>
                <w:lang w:val="hr-HR"/>
              </w:rPr>
              <w:t>1.  Sažetak djelokruga rada proračunskog korisnika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06590761" w:history="1">
            <w:r w:rsidR="0059322F" w:rsidRPr="0006333C">
              <w:rPr>
                <w:rStyle w:val="Hyperlink"/>
                <w:noProof/>
                <w:lang w:val="hr-HR"/>
              </w:rPr>
              <w:t>2. Obrazloženje programa rada Medicinskog fakulteta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62" w:history="1">
            <w:r w:rsidR="0059322F" w:rsidRPr="0006333C">
              <w:rPr>
                <w:rStyle w:val="Hyperlink"/>
                <w:noProof/>
                <w:lang w:val="hr-HR"/>
              </w:rPr>
              <w:t>2.1 Naziv programa: Nastavna djelatnost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63" w:history="1">
            <w:r w:rsidR="0059322F" w:rsidRPr="0006333C">
              <w:rPr>
                <w:rStyle w:val="Hyperlink"/>
                <w:rFonts w:eastAsia="Times New Roman"/>
                <w:noProof/>
                <w:lang w:val="hr-HR" w:eastAsia="hr-HR"/>
              </w:rPr>
              <w:t>2.2 Naziv programa: Znanstvena djelatnost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64" w:history="1">
            <w:r w:rsidR="0059322F" w:rsidRPr="0006333C">
              <w:rPr>
                <w:rStyle w:val="Hyperlink"/>
                <w:rFonts w:eastAsia="Times New Roman"/>
                <w:noProof/>
                <w:lang w:val="hr-HR" w:eastAsia="hr-HR"/>
              </w:rPr>
              <w:t>2.3 Naziv programa: Stručna djelatnost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06590765" w:history="1">
            <w:r w:rsidR="0059322F" w:rsidRPr="0006333C">
              <w:rPr>
                <w:rStyle w:val="Hyperlink"/>
                <w:rFonts w:eastAsia="Times New Roman"/>
                <w:noProof/>
              </w:rPr>
              <w:t>3. Zakonska regulativa koja se primjenjuje u poslovanju Medicinskog fakulteta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06590766" w:history="1">
            <w:r w:rsidR="0059322F">
              <w:rPr>
                <w:rStyle w:val="Hyperlink"/>
                <w:noProof/>
                <w:lang w:val="hr-HR"/>
              </w:rPr>
              <w:t xml:space="preserve">4. </w:t>
            </w:r>
            <w:r w:rsidR="0059322F" w:rsidRPr="0006333C">
              <w:rPr>
                <w:rStyle w:val="Hyperlink"/>
                <w:noProof/>
                <w:lang w:val="hr-HR"/>
              </w:rPr>
              <w:t>Usklađenost ciljeva, strategija i programa s dokumentima dugoročnog razvoja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06590767" w:history="1">
            <w:r w:rsidR="0059322F" w:rsidRPr="0006333C">
              <w:rPr>
                <w:rStyle w:val="Hyperlink"/>
                <w:noProof/>
              </w:rPr>
              <w:t>5. Ciljevi provedbe programa u trogodišnjem razdoblju i pokazatelji uspješnosti kojima će se mjeriti ostvarenje ciljeva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68" w:history="1">
            <w:r w:rsidR="0059322F" w:rsidRPr="0006333C">
              <w:rPr>
                <w:rStyle w:val="Hyperlink"/>
                <w:noProof/>
              </w:rPr>
              <w:t>5.1. Program nastavne djelatnosti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69" w:history="1">
            <w:r w:rsidR="0059322F" w:rsidRPr="0006333C">
              <w:rPr>
                <w:rStyle w:val="Hyperlink"/>
                <w:noProof/>
                <w:lang w:val="hr-HR" w:eastAsia="hr-HR"/>
              </w:rPr>
              <w:t>5.2. Program znanstvene djelatnosti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70" w:history="1">
            <w:r w:rsidR="0059322F" w:rsidRPr="0006333C">
              <w:rPr>
                <w:rStyle w:val="Hyperlink"/>
                <w:noProof/>
              </w:rPr>
              <w:t>5.3. Program stručne djelatnosti –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06590771" w:history="1">
            <w:r w:rsidR="0059322F" w:rsidRPr="0006333C">
              <w:rPr>
                <w:rStyle w:val="Hyperlink"/>
                <w:noProof/>
              </w:rPr>
              <w:t>6. Ishodišta na kojima se zasnivaju izračuni i ocjene potrebnih sredstava za provođenje programa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ind w:left="0"/>
            <w:rPr>
              <w:noProof/>
            </w:rPr>
          </w:pPr>
          <w:hyperlink w:anchor="_Toc406590772" w:history="1">
            <w:r w:rsidR="0059322F" w:rsidRPr="0006333C">
              <w:rPr>
                <w:rStyle w:val="Hyperlink"/>
                <w:noProof/>
              </w:rPr>
              <w:t>7. Izvještaj o postignutim ciljevima i rezultatima programa temeljenim na pokazateljima uspješnosti iz nadležnosti proračunskog korisnika u prethodnoj godini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73" w:history="1">
            <w:r w:rsidR="0059322F" w:rsidRPr="0006333C">
              <w:rPr>
                <w:rStyle w:val="Hyperlink"/>
                <w:noProof/>
              </w:rPr>
              <w:t>7.1 Program nastavne djelatnosti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74" w:history="1">
            <w:r w:rsidR="0059322F" w:rsidRPr="0006333C">
              <w:rPr>
                <w:rStyle w:val="Hyperlink"/>
                <w:noProof/>
                <w:lang w:val="hr-HR" w:eastAsia="hr-HR"/>
              </w:rPr>
              <w:t>7.2 Program znanstvene djelatnosti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06590775" w:history="1">
            <w:r w:rsidR="0059322F" w:rsidRPr="0006333C">
              <w:rPr>
                <w:rStyle w:val="Hyperlink"/>
                <w:noProof/>
              </w:rPr>
              <w:t>7.3 Program stručne djelatnosti</w:t>
            </w:r>
            <w:r w:rsidR="005932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322F">
              <w:rPr>
                <w:noProof/>
                <w:webHidden/>
              </w:rPr>
              <w:instrText xml:space="preserve"> PAGEREF _Toc406590775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69F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22F" w:rsidRDefault="00785FEC" w:rsidP="0059322F">
          <w:pPr>
            <w:rPr>
              <w:lang w:val="hr-HR"/>
            </w:rPr>
          </w:pPr>
          <w:r>
            <w:rPr>
              <w:lang w:val="hr-HR"/>
            </w:rPr>
            <w:fldChar w:fldCharType="end"/>
          </w:r>
        </w:p>
      </w:sdtContent>
    </w:sdt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Pr="00A27968" w:rsidRDefault="0059322F" w:rsidP="0059322F">
      <w:pPr>
        <w:rPr>
          <w:b/>
          <w:color w:val="000000" w:themeColor="text1"/>
          <w:lang w:val="hr-HR"/>
        </w:rPr>
      </w:pPr>
    </w:p>
    <w:p w:rsidR="0059322F" w:rsidRPr="00A27968" w:rsidRDefault="0059322F" w:rsidP="0059322F">
      <w:pPr>
        <w:pStyle w:val="Heading1"/>
        <w:rPr>
          <w:rFonts w:asciiTheme="minorHAnsi" w:hAnsiTheme="minorHAnsi"/>
          <w:sz w:val="24"/>
          <w:szCs w:val="24"/>
          <w:lang w:val="hr-HR"/>
        </w:rPr>
      </w:pPr>
      <w:bookmarkStart w:id="0" w:name="_Toc406590760"/>
      <w:r w:rsidRPr="00A27968">
        <w:rPr>
          <w:rFonts w:asciiTheme="minorHAnsi" w:hAnsiTheme="minorHAnsi"/>
          <w:sz w:val="24"/>
          <w:szCs w:val="24"/>
          <w:lang w:val="hr-HR"/>
        </w:rPr>
        <w:lastRenderedPageBreak/>
        <w:t>1.  Sažetak djelokruga rada proračunskog korisnika</w:t>
      </w:r>
      <w:bookmarkEnd w:id="0"/>
    </w:p>
    <w:p w:rsidR="0059322F" w:rsidRPr="00A27968" w:rsidRDefault="0059322F" w:rsidP="0059322F">
      <w:pPr>
        <w:spacing w:after="0" w:line="240" w:lineRule="auto"/>
        <w:rPr>
          <w:color w:val="000000" w:themeColor="text1"/>
          <w:lang w:val="hr-HR"/>
        </w:rPr>
      </w:pPr>
    </w:p>
    <w:p w:rsidR="0059322F" w:rsidRPr="00A27968" w:rsidRDefault="0059322F" w:rsidP="0059322F">
      <w:pPr>
        <w:spacing w:after="0" w:line="240" w:lineRule="auto"/>
        <w:rPr>
          <w:color w:val="000000" w:themeColor="text1"/>
          <w:lang w:val="hr-HR"/>
        </w:rPr>
      </w:pPr>
      <w:r w:rsidRPr="00A27968">
        <w:rPr>
          <w:color w:val="000000" w:themeColor="text1"/>
          <w:lang w:val="hr-HR"/>
        </w:rPr>
        <w:t>Medicinski fakultet kao nastavno-znanstvena institucija izvodi nastavu iz biomedicine i zdravstva, polje temeljnih, kliničkih i javnozdravstvenih znanosti za stjecanje zvanja doktor medicine. Prema Statutu, Medicinski fakultet obavlja slijedeće djelatnosti:</w:t>
      </w:r>
    </w:p>
    <w:p w:rsidR="0059322F" w:rsidRPr="00A27968" w:rsidRDefault="0059322F" w:rsidP="0059322F">
      <w:pPr>
        <w:spacing w:after="0" w:line="240" w:lineRule="auto"/>
        <w:rPr>
          <w:color w:val="000000" w:themeColor="text1"/>
          <w:lang w:val="hr-HR"/>
        </w:rPr>
      </w:pP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Izvođenje integriranog studija medicine 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Izvođenje integriranog studija medicine na engleskom jeziku 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Izvođenje diplomskoga studija sestrinstva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Izvođenje poslijediplomskih sveučilišnih studija i doktorskog studija iz istog područja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Provođenje znanstvene djelatnosti iz znanstvenog područja Biomedicine i zdravstva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Provođenje stručne djelatnosti iz područja Biomedicine i zdravstva te sudjelovanje u realizaciji programa zdravstvene zaštite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Provođenje različitih oblika stručnog i znanstvenog usavršavanja djelatnika u zdravstvu kao dio </w:t>
      </w:r>
      <w:proofErr w:type="spellStart"/>
      <w:r w:rsidRPr="00A27968">
        <w:rPr>
          <w:rFonts w:eastAsia="Times New Roman" w:cs="Arial"/>
          <w:color w:val="000000" w:themeColor="text1"/>
          <w:lang w:val="hr-HR" w:eastAsia="hr-HR"/>
        </w:rPr>
        <w:t>cijeloživotnog</w:t>
      </w:r>
      <w:proofErr w:type="spellEnd"/>
      <w:r w:rsidRPr="00A27968">
        <w:rPr>
          <w:rFonts w:eastAsia="Times New Roman" w:cs="Arial"/>
          <w:color w:val="000000" w:themeColor="text1"/>
          <w:lang w:val="hr-HR" w:eastAsia="hr-HR"/>
        </w:rPr>
        <w:t xml:space="preserve"> učenja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Ustrojavanje i provođenje domaćih i međunarodnih tečajeva i programa radi proširivanja znanja i vještina studenata, djelatnika u zdravstvu i drugih zainteresiranih s ciljem praćenja novih znanstvenih dostignuća i razmjene osobnih iskustava s drugima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Provođenje zdravstvene djelatnosti za potrebe fakultetske nastave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Izdavačka, bibliotečna i informatička djelatnost za potrebe nastave te znanstvenog i stručnog rada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Prodaja udžbenika i ostalih tiskanih materijala potrebnih za obavljanje djelatnosti Fakulteta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Ekspertize i stručna mišljenja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Sudska vještačenja iz znanstvenog i stručnog područja Biomedicine i zdravstva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Ostale djelatnosti koje pridonose iskorištenju prostornih i kadrovskih kapaciteta, a osobito ustrojavanju i izvođenju programa stalnog usavršavanja iz područja Biomedicine i zdravstva.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Na Fakultetu u prosjeku svake godine studira oko 1800 studenata na diplomskom studiju medicine, oko 300 studenata na studiju medicine na engleskom jeziku te oko 100 studenata na studiju sestrinstva i  500 studenata na doktorskim i ostalim specijalističkim poslijediplomskim studijima.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Ukupni infrastrukturni kapaciteti Medicinskog fakulteta protežu se na više od 170.000 m2  od čega se 42.000 m2 odnosi na zgrade svih Zavoda i Katedri, te na Institut za istraživanje mozga i Školu narodnog zdravlja „Andrija Štampar“ (ukupno 6 zgrada) i na više od 128.000 m2 parkova i livada. 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color w:val="000000" w:themeColor="text1"/>
          <w:lang w:val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Postojeći objekti sadrže uz uredske i pomoćne prostorije i 35 dvorana za nastavu, 100 laboratorija za nastavno-znanstvenu djelatnosti te 3 knjižnice. Zgrade i parkovi Medicinskog fakulteta dio su Registra kulturnih dobara Republike Hrvatske što djelatnike i studente Medicinskog fakulteta čini ponosne  ali istovremeno nameće obvezu adekvatnog održavanja i  očuvanja kulturne baštine poglavito iz vlastitih sredstava Fakulteta.</w:t>
      </w:r>
    </w:p>
    <w:p w:rsidR="0059322F" w:rsidRPr="00A27968" w:rsidRDefault="0059322F" w:rsidP="0059322F">
      <w:pPr>
        <w:rPr>
          <w:color w:val="000000" w:themeColor="text1"/>
          <w:lang w:val="hr-HR"/>
        </w:rPr>
      </w:pPr>
    </w:p>
    <w:p w:rsidR="0059322F" w:rsidRPr="00A27968" w:rsidRDefault="0059322F" w:rsidP="0059322F">
      <w:pPr>
        <w:rPr>
          <w:color w:val="000000" w:themeColor="text1"/>
          <w:lang w:val="hr-HR"/>
        </w:rPr>
      </w:pPr>
    </w:p>
    <w:p w:rsidR="0059322F" w:rsidRDefault="0059322F" w:rsidP="0059322F">
      <w:pPr>
        <w:rPr>
          <w:color w:val="000000" w:themeColor="text1"/>
          <w:lang w:val="hr-HR"/>
        </w:rPr>
      </w:pPr>
    </w:p>
    <w:p w:rsidR="0059322F" w:rsidRDefault="0059322F" w:rsidP="0059322F">
      <w:pPr>
        <w:rPr>
          <w:color w:val="000000" w:themeColor="text1"/>
          <w:lang w:val="hr-HR"/>
        </w:rPr>
      </w:pPr>
    </w:p>
    <w:p w:rsidR="0059322F" w:rsidRPr="00A27968" w:rsidRDefault="0059322F" w:rsidP="0059322F">
      <w:pPr>
        <w:rPr>
          <w:color w:val="000000" w:themeColor="text1"/>
          <w:lang w:val="hr-HR"/>
        </w:rPr>
      </w:pPr>
    </w:p>
    <w:p w:rsidR="0059322F" w:rsidRPr="00A27968" w:rsidRDefault="0059322F" w:rsidP="0059322F">
      <w:pPr>
        <w:pStyle w:val="Heading1"/>
        <w:rPr>
          <w:rFonts w:asciiTheme="minorHAnsi" w:hAnsiTheme="minorHAnsi"/>
          <w:sz w:val="24"/>
          <w:szCs w:val="24"/>
          <w:lang w:val="hr-HR"/>
        </w:rPr>
      </w:pPr>
      <w:bookmarkStart w:id="1" w:name="_Toc406590761"/>
      <w:r w:rsidRPr="00A27968">
        <w:rPr>
          <w:rFonts w:asciiTheme="minorHAnsi" w:hAnsiTheme="minorHAnsi"/>
          <w:sz w:val="24"/>
          <w:szCs w:val="24"/>
          <w:lang w:val="hr-HR"/>
        </w:rPr>
        <w:lastRenderedPageBreak/>
        <w:t>2. Obrazloženje programa rada Medicinskog fakulteta</w:t>
      </w:r>
      <w:bookmarkEnd w:id="1"/>
      <w:r w:rsidRPr="00A27968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59322F" w:rsidRPr="00A27968" w:rsidRDefault="0059322F" w:rsidP="0059322F">
      <w:pPr>
        <w:pStyle w:val="Heading2"/>
        <w:rPr>
          <w:rFonts w:asciiTheme="minorHAnsi" w:hAnsiTheme="minorHAnsi"/>
          <w:sz w:val="22"/>
          <w:szCs w:val="22"/>
          <w:lang w:val="hr-HR"/>
        </w:rPr>
      </w:pPr>
      <w:bookmarkStart w:id="2" w:name="_Toc406590762"/>
      <w:r w:rsidRPr="00A27968">
        <w:rPr>
          <w:rFonts w:asciiTheme="minorHAnsi" w:hAnsiTheme="minorHAnsi"/>
          <w:sz w:val="22"/>
          <w:szCs w:val="22"/>
          <w:lang w:val="hr-HR"/>
        </w:rPr>
        <w:t>2.1 Naziv programa: Nastavna djelatnost</w:t>
      </w:r>
      <w:bookmarkEnd w:id="2"/>
    </w:p>
    <w:p w:rsidR="0059322F" w:rsidRPr="00A27968" w:rsidRDefault="0059322F" w:rsidP="0059322F">
      <w:pPr>
        <w:rPr>
          <w:b/>
          <w:color w:val="000000" w:themeColor="text1"/>
          <w:lang w:val="hr-HR"/>
        </w:rPr>
      </w:pPr>
      <w:r w:rsidRPr="00A27968">
        <w:rPr>
          <w:b/>
          <w:color w:val="000000" w:themeColor="text1"/>
          <w:lang w:val="hr-HR"/>
        </w:rPr>
        <w:t>Naziv aktivnosti koje će se provoditi u ovom programu: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Izvođenje integriranog studija medicine 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Izvođenje integriranog studija medicine na engleskom jeziku 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Izvođenje diplomskoga studija sestrinstva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Izvođenje poslijediplomskih sveučilišnih studija i doktorskog studija iz istog područja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Tekuće i investicijsko održavanje, nabava kemikalija i laboratorijskog materijala za potrebe nastave, nabava medicinske i laboratorijske opreme za potrebe nastave, računalne opreme za učionice i urede, nabava sportske opreme, komunikacijske opreme, nabava knjiga i računalnih programa.</w:t>
      </w:r>
    </w:p>
    <w:p w:rsidR="0059322F" w:rsidRPr="00A27968" w:rsidRDefault="0059322F" w:rsidP="0059322F">
      <w:pPr>
        <w:pStyle w:val="Heading2"/>
        <w:rPr>
          <w:rFonts w:asciiTheme="minorHAnsi" w:eastAsia="Times New Roman" w:hAnsiTheme="minorHAnsi"/>
          <w:sz w:val="22"/>
          <w:szCs w:val="22"/>
          <w:lang w:val="hr-HR" w:eastAsia="hr-HR" w:bidi="ar-SA"/>
        </w:rPr>
      </w:pPr>
      <w:bookmarkStart w:id="3" w:name="_Toc406590763"/>
      <w:r w:rsidRPr="00A27968">
        <w:rPr>
          <w:rFonts w:asciiTheme="minorHAnsi" w:eastAsia="Times New Roman" w:hAnsiTheme="minorHAnsi"/>
          <w:sz w:val="22"/>
          <w:szCs w:val="22"/>
          <w:lang w:val="hr-HR" w:eastAsia="hr-HR" w:bidi="ar-SA"/>
        </w:rPr>
        <w:t>2.2 Naziv programa: Znanstvena djelatnost</w:t>
      </w:r>
      <w:bookmarkEnd w:id="3"/>
    </w:p>
    <w:p w:rsidR="0059322F" w:rsidRPr="00A27968" w:rsidRDefault="0059322F" w:rsidP="0059322F">
      <w:pPr>
        <w:ind w:firstLine="360"/>
        <w:rPr>
          <w:b/>
          <w:color w:val="000000" w:themeColor="text1"/>
          <w:lang w:val="hr-HR"/>
        </w:rPr>
      </w:pPr>
      <w:r w:rsidRPr="00A27968">
        <w:rPr>
          <w:b/>
          <w:color w:val="000000" w:themeColor="text1"/>
          <w:lang w:val="hr-HR"/>
        </w:rPr>
        <w:t>Naziv aktivnosti koje će se provoditi u ovom programu:</w:t>
      </w:r>
    </w:p>
    <w:p w:rsidR="0059322F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Provođenje znanstvene djelatnosti iz znanstvenog područja Biomedicine i zdravstva, koordinacijom znanstvenih projekta (domaćih i inozemnih).</w:t>
      </w:r>
    </w:p>
    <w:p w:rsidR="0059322F" w:rsidRPr="00A27968" w:rsidRDefault="0059322F" w:rsidP="0059322F">
      <w:pPr>
        <w:pStyle w:val="ListParagraph"/>
        <w:spacing w:after="0" w:line="240" w:lineRule="auto"/>
        <w:ind w:left="360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Tekuće i investicijsko održavanje, nabava kemikalija i laboratorijskog materijala za potrebe provođenja znanstvenih projekata, nabava medicinske i laboratorijske opreme za potrebe znanstvene djelatnosti, računalne opreme za potrebe provođenja znanstvenih projekata, nabava komunikacijske opreme, nabava knjiga, računalnih programa te računalnih licenci.</w:t>
      </w:r>
    </w:p>
    <w:p w:rsidR="0059322F" w:rsidRPr="00A27968" w:rsidRDefault="0059322F" w:rsidP="0059322F">
      <w:pPr>
        <w:pStyle w:val="Heading2"/>
        <w:rPr>
          <w:rFonts w:asciiTheme="minorHAnsi" w:eastAsia="Times New Roman" w:hAnsiTheme="minorHAnsi"/>
          <w:sz w:val="22"/>
          <w:szCs w:val="22"/>
          <w:lang w:val="hr-HR" w:eastAsia="hr-HR" w:bidi="ar-SA"/>
        </w:rPr>
      </w:pPr>
      <w:bookmarkStart w:id="4" w:name="_Toc406590764"/>
      <w:r w:rsidRPr="00A27968">
        <w:rPr>
          <w:rFonts w:asciiTheme="minorHAnsi" w:eastAsia="Times New Roman" w:hAnsiTheme="minorHAnsi"/>
          <w:sz w:val="22"/>
          <w:szCs w:val="22"/>
          <w:lang w:val="hr-HR" w:eastAsia="hr-HR" w:bidi="ar-SA"/>
        </w:rPr>
        <w:t>2.3 Naziv programa: Stručna djelatnost</w:t>
      </w:r>
      <w:bookmarkEnd w:id="4"/>
    </w:p>
    <w:p w:rsidR="0059322F" w:rsidRPr="00A27968" w:rsidRDefault="0059322F" w:rsidP="0059322F">
      <w:pPr>
        <w:ind w:firstLine="360"/>
        <w:rPr>
          <w:b/>
          <w:color w:val="000000" w:themeColor="text1"/>
          <w:lang w:val="hr-HR"/>
        </w:rPr>
      </w:pPr>
      <w:r w:rsidRPr="00A27968">
        <w:rPr>
          <w:b/>
          <w:color w:val="000000" w:themeColor="text1"/>
          <w:lang w:val="hr-HR"/>
        </w:rPr>
        <w:t>Naziv aktivnosti koje će se provoditi u ovom programu: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Provođenje stručne djelatnosti iz područja Biomedicine i zdravstva te sudjelovanje u realizaciji programa zdravstvene zaštite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Provođenje različitih oblika stručnog i znanstvenog usavršavanja djelatnika u zdravstvu kao dio </w:t>
      </w:r>
      <w:proofErr w:type="spellStart"/>
      <w:r w:rsidRPr="00A27968">
        <w:rPr>
          <w:rFonts w:eastAsia="Times New Roman" w:cs="Arial"/>
          <w:color w:val="000000" w:themeColor="text1"/>
          <w:lang w:val="hr-HR" w:eastAsia="hr-HR"/>
        </w:rPr>
        <w:t>cijeloživotnog</w:t>
      </w:r>
      <w:proofErr w:type="spellEnd"/>
      <w:r w:rsidRPr="00A27968">
        <w:rPr>
          <w:rFonts w:eastAsia="Times New Roman" w:cs="Arial"/>
          <w:color w:val="000000" w:themeColor="text1"/>
          <w:lang w:val="hr-HR" w:eastAsia="hr-HR"/>
        </w:rPr>
        <w:t xml:space="preserve"> učenja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Ustrojavanje i provođenje domaćih i međunarodnih tečajeva i programa radi proširivanja znanja i vještina studenata, djelatnika u zdravstvu i drugih zainteresiranih s ciljem praćenja novih znanstvenih dostignuća i razmjene osobnih iskustava s drugima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Provođenje zdravstvene djelatnosti za potrebe fakultetske nastave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Izdavačka, bibliotečna i informatička djelatnost za potrebe nastave te znanstvenog i stručnog rada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Prodaja udžbenika i ostalih tiskanih materijala potrebnih za obavljanje djelatnosti Fakulteta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Ekspertize i stručna mišljenja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Sudska vještačenja iz znanstvenog i stručnog područja Biomedicine i zdravstva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Ostale djelatnosti koje pridonose iskorištenju prostornih i kadrovskih kapaciteta, a osobito ustrojavanju i izvođenju programa stalnog usavršavanja iz područja Biomedicine i zdravstva.</w:t>
      </w:r>
    </w:p>
    <w:p w:rsidR="0059322F" w:rsidRPr="00A27968" w:rsidRDefault="0059322F" w:rsidP="0059322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Tekuće i investicijsko održavanje zgrada, parkova, postrojenja, nabava strojeva, alata, nabava mikroskopa, ostale laboratorijske opreme te kemikalija i laboratorijskog materijala.</w:t>
      </w:r>
    </w:p>
    <w:p w:rsidR="0059322F" w:rsidRPr="00A27968" w:rsidRDefault="0059322F" w:rsidP="0059322F">
      <w:pPr>
        <w:pStyle w:val="ListParagraph"/>
        <w:spacing w:after="0" w:line="240" w:lineRule="auto"/>
        <w:ind w:left="360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pStyle w:val="Heading1"/>
        <w:rPr>
          <w:rFonts w:asciiTheme="minorHAnsi" w:eastAsia="Times New Roman" w:hAnsiTheme="minorHAnsi"/>
          <w:sz w:val="24"/>
          <w:szCs w:val="24"/>
        </w:rPr>
      </w:pPr>
      <w:bookmarkStart w:id="5" w:name="_Toc406590765"/>
      <w:r w:rsidRPr="00A27968">
        <w:rPr>
          <w:rFonts w:asciiTheme="minorHAnsi" w:eastAsia="Times New Roman" w:hAnsiTheme="minorHAnsi"/>
          <w:sz w:val="24"/>
          <w:szCs w:val="24"/>
        </w:rPr>
        <w:lastRenderedPageBreak/>
        <w:t xml:space="preserve">3.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Zakonska</w:t>
      </w:r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regulativa</w:t>
      </w:r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koja</w:t>
      </w:r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se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primjenjuje</w:t>
      </w:r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poslovanju</w:t>
      </w:r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Medicinskog</w:t>
      </w:r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eastAsia="Times New Roman" w:hAnsiTheme="minorHAnsi"/>
          <w:sz w:val="24"/>
          <w:szCs w:val="24"/>
        </w:rPr>
        <w:t>fakulteta</w:t>
      </w:r>
      <w:bookmarkEnd w:id="5"/>
      <w:proofErr w:type="spellEnd"/>
      <w:r w:rsidRPr="00A27968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59322F" w:rsidRPr="00A27968" w:rsidRDefault="0059322F" w:rsidP="005932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Zakon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o </w:t>
      </w:r>
      <w:proofErr w:type="spellStart"/>
      <w:r w:rsidRPr="00A27968">
        <w:rPr>
          <w:rFonts w:eastAsia="Times New Roman" w:cs="Arial"/>
          <w:color w:val="000000" w:themeColor="text1"/>
        </w:rPr>
        <w:t>znanstvenoj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djelatnosti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i </w:t>
      </w:r>
      <w:proofErr w:type="spellStart"/>
      <w:r w:rsidRPr="00A27968">
        <w:rPr>
          <w:rFonts w:eastAsia="Times New Roman" w:cs="Arial"/>
          <w:color w:val="000000" w:themeColor="text1"/>
        </w:rPr>
        <w:t>visokom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obrazovanju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(NN br. 123/03; 198/03; 105/04; 174/04; 02/07; 46/07;45/09;63/11;94/13;139/13;101/14)</w:t>
      </w: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Zakon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o </w:t>
      </w:r>
      <w:proofErr w:type="spellStart"/>
      <w:r w:rsidRPr="00A27968">
        <w:rPr>
          <w:rFonts w:eastAsia="Times New Roman" w:cs="Arial"/>
          <w:color w:val="000000" w:themeColor="text1"/>
        </w:rPr>
        <w:t>ustanovama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(NN br. 76/93;29/97;47/99;35/08)</w:t>
      </w: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Zakon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o </w:t>
      </w:r>
      <w:proofErr w:type="spellStart"/>
      <w:r w:rsidRPr="00A27968">
        <w:rPr>
          <w:rFonts w:eastAsia="Times New Roman" w:cs="Arial"/>
          <w:color w:val="000000" w:themeColor="text1"/>
        </w:rPr>
        <w:t>proračunu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(NN br. 87/08;136/12)</w:t>
      </w: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Pravilnik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o </w:t>
      </w:r>
      <w:proofErr w:type="spellStart"/>
      <w:r w:rsidRPr="00A27968">
        <w:rPr>
          <w:rFonts w:eastAsia="Times New Roman" w:cs="Arial"/>
          <w:color w:val="000000" w:themeColor="text1"/>
        </w:rPr>
        <w:t>proračunskim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klasifikacijama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(NN br.26/10;120/13)</w:t>
      </w: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Pravilnik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o </w:t>
      </w:r>
      <w:proofErr w:type="spellStart"/>
      <w:r w:rsidRPr="00A27968">
        <w:rPr>
          <w:rFonts w:eastAsia="Times New Roman" w:cs="Arial"/>
          <w:color w:val="000000" w:themeColor="text1"/>
        </w:rPr>
        <w:t>proračunskom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računovodstvu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i </w:t>
      </w:r>
      <w:proofErr w:type="spellStart"/>
      <w:r w:rsidRPr="00A27968">
        <w:rPr>
          <w:rFonts w:eastAsia="Times New Roman" w:cs="Arial"/>
          <w:color w:val="000000" w:themeColor="text1"/>
        </w:rPr>
        <w:t>računskom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planu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(NN br.114/10;31/11)</w:t>
      </w: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Statut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Fakulteta</w:t>
      </w:r>
      <w:proofErr w:type="spellEnd"/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Upute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za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izradu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proračuna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visokih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učilišta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od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strane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  <w:proofErr w:type="spellStart"/>
      <w:r w:rsidRPr="00A27968">
        <w:rPr>
          <w:rFonts w:eastAsia="Times New Roman" w:cs="Arial"/>
          <w:color w:val="000000" w:themeColor="text1"/>
        </w:rPr>
        <w:t>Sveučilišta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u </w:t>
      </w:r>
      <w:proofErr w:type="spellStart"/>
      <w:r w:rsidRPr="00A27968">
        <w:rPr>
          <w:rFonts w:eastAsia="Times New Roman" w:cs="Arial"/>
          <w:color w:val="000000" w:themeColor="text1"/>
        </w:rPr>
        <w:t>Zagrebu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</w:t>
      </w:r>
    </w:p>
    <w:p w:rsidR="0059322F" w:rsidRPr="00A27968" w:rsidRDefault="0059322F" w:rsidP="005932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proofErr w:type="spellStart"/>
      <w:r w:rsidRPr="00A27968">
        <w:rPr>
          <w:rFonts w:eastAsia="Times New Roman" w:cs="Arial"/>
          <w:color w:val="000000" w:themeColor="text1"/>
        </w:rPr>
        <w:t>Nastavni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plan </w:t>
      </w:r>
      <w:proofErr w:type="spellStart"/>
      <w:r w:rsidRPr="00A27968">
        <w:rPr>
          <w:rFonts w:eastAsia="Times New Roman" w:cs="Arial"/>
          <w:color w:val="000000" w:themeColor="text1"/>
        </w:rPr>
        <w:t>Fakulteta</w:t>
      </w:r>
      <w:proofErr w:type="spellEnd"/>
      <w:r w:rsidRPr="00A27968">
        <w:rPr>
          <w:rFonts w:eastAsia="Times New Roman" w:cs="Arial"/>
          <w:color w:val="000000" w:themeColor="text1"/>
        </w:rPr>
        <w:t xml:space="preserve">  </w:t>
      </w:r>
    </w:p>
    <w:p w:rsidR="0059322F" w:rsidRPr="00A27968" w:rsidRDefault="0059322F" w:rsidP="0059322F">
      <w:pPr>
        <w:pStyle w:val="Heading1"/>
        <w:rPr>
          <w:rFonts w:asciiTheme="minorHAnsi" w:hAnsiTheme="minorHAnsi"/>
          <w:sz w:val="24"/>
          <w:szCs w:val="24"/>
          <w:lang w:val="hr-HR"/>
        </w:rPr>
      </w:pPr>
      <w:bookmarkStart w:id="6" w:name="_Toc406590766"/>
      <w:r w:rsidRPr="00A27968">
        <w:rPr>
          <w:rFonts w:asciiTheme="minorHAnsi" w:hAnsiTheme="minorHAnsi"/>
          <w:sz w:val="24"/>
          <w:szCs w:val="24"/>
          <w:lang w:val="hr-HR"/>
        </w:rPr>
        <w:t>4.  Usklađenost ciljeva, strategija i programa s dokumentima dugoročnog razvoja</w:t>
      </w:r>
      <w:bookmarkEnd w:id="6"/>
    </w:p>
    <w:p w:rsidR="0059322F" w:rsidRPr="00A27968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proofErr w:type="spellStart"/>
      <w:proofErr w:type="gramStart"/>
      <w:r w:rsidRPr="00A27968">
        <w:rPr>
          <w:rFonts w:cs="Arial"/>
          <w:color w:val="000000" w:themeColor="text1"/>
        </w:rPr>
        <w:t>Medicinski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fakultet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provodi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svoje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aktivnosti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sukladno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strateškom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planu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Sveučilišta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Zagrebu</w:t>
      </w:r>
      <w:proofErr w:type="spellEnd"/>
      <w:r w:rsidRPr="00A27968">
        <w:rPr>
          <w:rFonts w:cs="Arial"/>
          <w:color w:val="000000" w:themeColor="text1"/>
        </w:rPr>
        <w:t>.</w:t>
      </w:r>
      <w:proofErr w:type="gramEnd"/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proofErr w:type="spellStart"/>
      <w:proofErr w:type="gramStart"/>
      <w:r w:rsidRPr="00A27968">
        <w:rPr>
          <w:rFonts w:cs="Arial"/>
          <w:color w:val="000000" w:themeColor="text1"/>
        </w:rPr>
        <w:t>Godišnji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nastavni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planovi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donose</w:t>
      </w:r>
      <w:proofErr w:type="spellEnd"/>
      <w:r w:rsidRPr="00A27968">
        <w:rPr>
          <w:rFonts w:cs="Arial"/>
          <w:color w:val="000000" w:themeColor="text1"/>
        </w:rPr>
        <w:t xml:space="preserve"> se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akademsku</w:t>
      </w:r>
      <w:proofErr w:type="spellEnd"/>
      <w:r w:rsidRPr="00A27968">
        <w:rPr>
          <w:rFonts w:cs="Arial"/>
          <w:color w:val="000000" w:themeColor="text1"/>
        </w:rPr>
        <w:t xml:space="preserve">, a ne </w:t>
      </w:r>
      <w:proofErr w:type="spellStart"/>
      <w:r w:rsidRPr="00A27968">
        <w:rPr>
          <w:rFonts w:cs="Arial"/>
          <w:color w:val="000000" w:themeColor="text1"/>
        </w:rPr>
        <w:t>poslovnu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godinu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tako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usklađenost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ciljeva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strategija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programa</w:t>
      </w:r>
      <w:proofErr w:type="spellEnd"/>
      <w:r w:rsidRPr="00A27968">
        <w:rPr>
          <w:rFonts w:cs="Arial"/>
          <w:color w:val="000000" w:themeColor="text1"/>
        </w:rPr>
        <w:t xml:space="preserve"> s </w:t>
      </w:r>
      <w:proofErr w:type="spellStart"/>
      <w:r w:rsidRPr="00A27968">
        <w:rPr>
          <w:rFonts w:cs="Arial"/>
          <w:color w:val="000000" w:themeColor="text1"/>
        </w:rPr>
        <w:t>dokumentima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dugoročnog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razvoja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još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uvijek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nije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potpunosti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postignuta</w:t>
      </w:r>
      <w:proofErr w:type="spellEnd"/>
      <w:r w:rsidRPr="00A27968">
        <w:rPr>
          <w:rFonts w:cs="Arial"/>
          <w:color w:val="000000" w:themeColor="text1"/>
        </w:rPr>
        <w:t>.</w:t>
      </w:r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Isto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tako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programi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aktivnosti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nisu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numerički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definirani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proofErr w:type="gramStart"/>
      <w:r w:rsidRPr="00A27968">
        <w:rPr>
          <w:rFonts w:cs="Arial"/>
          <w:color w:val="000000" w:themeColor="text1"/>
        </w:rPr>
        <w:t>te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zbog</w:t>
      </w:r>
      <w:proofErr w:type="spellEnd"/>
      <w:r w:rsidRPr="00A27968">
        <w:rPr>
          <w:rFonts w:cs="Arial"/>
          <w:color w:val="000000" w:themeColor="text1"/>
        </w:rPr>
        <w:t xml:space="preserve"> toga </w:t>
      </w:r>
      <w:proofErr w:type="spellStart"/>
      <w:r w:rsidRPr="00A27968">
        <w:rPr>
          <w:rFonts w:cs="Arial"/>
          <w:color w:val="000000" w:themeColor="text1"/>
        </w:rPr>
        <w:t>nužno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dolazi</w:t>
      </w:r>
      <w:proofErr w:type="spellEnd"/>
      <w:r w:rsidRPr="00A27968">
        <w:rPr>
          <w:rFonts w:cs="Arial"/>
          <w:color w:val="000000" w:themeColor="text1"/>
        </w:rPr>
        <w:t xml:space="preserve"> do </w:t>
      </w:r>
      <w:proofErr w:type="spellStart"/>
      <w:r w:rsidRPr="00A27968">
        <w:rPr>
          <w:rFonts w:cs="Arial"/>
          <w:color w:val="000000" w:themeColor="text1"/>
        </w:rPr>
        <w:t>odstupanja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kod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provođenja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određenih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aktivnosti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odnosu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</w:t>
      </w:r>
      <w:proofErr w:type="spellEnd"/>
      <w:r w:rsidRPr="00A27968">
        <w:rPr>
          <w:rFonts w:cs="Arial"/>
          <w:color w:val="000000" w:themeColor="text1"/>
        </w:rPr>
        <w:t xml:space="preserve"> one </w:t>
      </w:r>
      <w:proofErr w:type="spellStart"/>
      <w:r w:rsidRPr="00A27968">
        <w:rPr>
          <w:rFonts w:cs="Arial"/>
          <w:color w:val="000000" w:themeColor="text1"/>
        </w:rPr>
        <w:t>evidentirane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financijskom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planu</w:t>
      </w:r>
      <w:proofErr w:type="spellEnd"/>
      <w:r w:rsidRPr="00A27968">
        <w:rPr>
          <w:rFonts w:cs="Arial"/>
          <w:color w:val="000000" w:themeColor="text1"/>
        </w:rPr>
        <w:t>.</w:t>
      </w:r>
    </w:p>
    <w:p w:rsidR="0059322F" w:rsidRPr="00A27968" w:rsidRDefault="0059322F" w:rsidP="0059322F">
      <w:pPr>
        <w:pStyle w:val="Heading1"/>
        <w:rPr>
          <w:rFonts w:asciiTheme="minorHAnsi" w:hAnsiTheme="minorHAnsi"/>
          <w:sz w:val="24"/>
          <w:szCs w:val="24"/>
        </w:rPr>
      </w:pPr>
      <w:bookmarkStart w:id="7" w:name="_Toc406590767"/>
      <w:r w:rsidRPr="00A27968">
        <w:rPr>
          <w:rFonts w:asciiTheme="minorHAnsi" w:hAnsiTheme="minorHAnsi"/>
          <w:sz w:val="24"/>
          <w:szCs w:val="24"/>
        </w:rPr>
        <w:t xml:space="preserve">5. </w:t>
      </w:r>
      <w:proofErr w:type="spellStart"/>
      <w:r w:rsidRPr="00A27968">
        <w:rPr>
          <w:rFonts w:asciiTheme="minorHAnsi" w:hAnsiTheme="minorHAnsi"/>
          <w:sz w:val="24"/>
          <w:szCs w:val="24"/>
        </w:rPr>
        <w:t>Ciljevi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provedbe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programa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A27968">
        <w:rPr>
          <w:rFonts w:asciiTheme="minorHAnsi" w:hAnsiTheme="minorHAnsi"/>
          <w:sz w:val="24"/>
          <w:szCs w:val="24"/>
        </w:rPr>
        <w:t>trogodišnjem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razdoblju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A27968">
        <w:rPr>
          <w:rFonts w:asciiTheme="minorHAnsi" w:hAnsiTheme="minorHAnsi"/>
          <w:sz w:val="24"/>
          <w:szCs w:val="24"/>
        </w:rPr>
        <w:t>pokazatelji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uspješnosti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kojima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27968">
        <w:rPr>
          <w:rFonts w:asciiTheme="minorHAnsi" w:hAnsiTheme="minorHAnsi"/>
          <w:sz w:val="24"/>
          <w:szCs w:val="24"/>
        </w:rPr>
        <w:t>će</w:t>
      </w:r>
      <w:proofErr w:type="spellEnd"/>
      <w:proofErr w:type="gramEnd"/>
      <w:r w:rsidRPr="00A27968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A27968">
        <w:rPr>
          <w:rFonts w:asciiTheme="minorHAnsi" w:hAnsiTheme="minorHAnsi"/>
          <w:sz w:val="24"/>
          <w:szCs w:val="24"/>
        </w:rPr>
        <w:t>mjeriti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ostvarenje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ciljeva</w:t>
      </w:r>
      <w:bookmarkEnd w:id="7"/>
      <w:proofErr w:type="spellEnd"/>
    </w:p>
    <w:p w:rsidR="0059322F" w:rsidRPr="00A27968" w:rsidRDefault="0059322F" w:rsidP="0059322F">
      <w:pPr>
        <w:spacing w:after="0" w:line="240" w:lineRule="auto"/>
        <w:rPr>
          <w:rFonts w:cs="Arial"/>
          <w:b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bookmarkStart w:id="8" w:name="_Toc406590768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5.1. Program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nastavne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djelatnosti</w:t>
      </w:r>
      <w:bookmarkEnd w:id="8"/>
      <w:proofErr w:type="spellEnd"/>
      <w:r w:rsidRPr="00A27968">
        <w:rPr>
          <w:rFonts w:cs="Arial"/>
          <w:b/>
          <w:color w:val="000000" w:themeColor="text1"/>
        </w:rPr>
        <w:t xml:space="preserve"> – </w:t>
      </w:r>
      <w:proofErr w:type="spellStart"/>
      <w:r w:rsidRPr="00A27968">
        <w:rPr>
          <w:rFonts w:cs="Arial"/>
          <w:color w:val="000000" w:themeColor="text1"/>
        </w:rPr>
        <w:t>cilj</w:t>
      </w:r>
      <w:proofErr w:type="spellEnd"/>
      <w:r w:rsidRPr="00A27968">
        <w:rPr>
          <w:rFonts w:cs="Arial"/>
          <w:color w:val="000000" w:themeColor="text1"/>
        </w:rPr>
        <w:t xml:space="preserve"> je </w:t>
      </w:r>
      <w:proofErr w:type="spellStart"/>
      <w:r w:rsidRPr="00A27968">
        <w:rPr>
          <w:rFonts w:cs="Arial"/>
          <w:color w:val="000000" w:themeColor="text1"/>
        </w:rPr>
        <w:t>kontinuirano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unapređivati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nastavu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A27968">
        <w:rPr>
          <w:rFonts w:cs="Arial"/>
          <w:color w:val="000000" w:themeColor="text1"/>
        </w:rPr>
        <w:t>na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način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ista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r w:rsidRPr="00A27968">
        <w:rPr>
          <w:rFonts w:eastAsia="Times New Roman" w:cs="Arial"/>
          <w:color w:val="000000" w:themeColor="text1"/>
          <w:lang w:val="hr-HR" w:eastAsia="hr-HR"/>
        </w:rPr>
        <w:t xml:space="preserve">integrira temeljne znanosti, izvrsno kliničko obrazovanje, e-učenje, stručne standarde i etička načela te da se paralelno primjenjuju najbolje metode obrazovanja. U postdiplomskom obrazovanju, cilj je usavršiti znanja i vještine potrebne za dijagnozu i liječenje bolesnika, unaprjeđenje zdravlja i prevenciju bolesti, ugraditi najviše etičke principe te promicati i kontinuirano naglašavati važnost </w:t>
      </w:r>
      <w:proofErr w:type="spellStart"/>
      <w:r w:rsidRPr="00A27968">
        <w:rPr>
          <w:rFonts w:eastAsia="Times New Roman" w:cs="Arial"/>
          <w:color w:val="000000" w:themeColor="text1"/>
          <w:lang w:val="hr-HR" w:eastAsia="hr-HR"/>
        </w:rPr>
        <w:t>cjeloživotnog</w:t>
      </w:r>
      <w:proofErr w:type="spellEnd"/>
      <w:r w:rsidRPr="00A27968">
        <w:rPr>
          <w:rFonts w:eastAsia="Times New Roman" w:cs="Arial"/>
          <w:color w:val="000000" w:themeColor="text1"/>
          <w:lang w:val="hr-HR" w:eastAsia="hr-HR"/>
        </w:rPr>
        <w:t xml:space="preserve"> učenja.  </w:t>
      </w:r>
    </w:p>
    <w:p w:rsidR="0059322F" w:rsidRPr="0059322F" w:rsidRDefault="0059322F" w:rsidP="0059322F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9" w:name="_Toc406590769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5.2. Program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znanstvene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djelatnosti</w:t>
      </w:r>
      <w:bookmarkEnd w:id="9"/>
      <w:proofErr w:type="spellEnd"/>
      <w:r w:rsidRPr="00A27968">
        <w:rPr>
          <w:rFonts w:asciiTheme="minorHAnsi" w:hAnsiTheme="minorHAnsi" w:cs="Arial"/>
          <w:color w:val="000000" w:themeColor="text1"/>
          <w:sz w:val="22"/>
          <w:szCs w:val="22"/>
        </w:rPr>
        <w:t xml:space="preserve"> – cilj je dodatno povećati znanstveno istraživačku aktivnosti </w:t>
      </w:r>
      <w:proofErr w:type="gramStart"/>
      <w:r w:rsidRPr="00A27968">
        <w:rPr>
          <w:rFonts w:asciiTheme="minorHAnsi" w:hAnsiTheme="minorHAnsi" w:cs="Arial"/>
          <w:color w:val="000000" w:themeColor="text1"/>
          <w:sz w:val="22"/>
          <w:szCs w:val="22"/>
        </w:rPr>
        <w:t>na</w:t>
      </w:r>
      <w:proofErr w:type="gramEnd"/>
      <w:r w:rsidRPr="00A27968">
        <w:rPr>
          <w:rFonts w:asciiTheme="minorHAnsi" w:hAnsiTheme="minorHAnsi" w:cs="Arial"/>
          <w:color w:val="000000" w:themeColor="text1"/>
          <w:sz w:val="22"/>
          <w:szCs w:val="22"/>
        </w:rPr>
        <w:t xml:space="preserve"> način da se poveća broj obranjenih doktorata, znanstvenih novaka, te broj međunarodno publiciranih radova.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27968">
        <w:rPr>
          <w:rFonts w:asciiTheme="minorHAnsi" w:hAnsiTheme="minorHAnsi"/>
          <w:color w:val="000000" w:themeColor="text1"/>
          <w:sz w:val="22"/>
          <w:szCs w:val="22"/>
        </w:rPr>
        <w:t>Integrirani Znanstveni centar izvrsnosti Medicinskoga fakulteta Sveučilišta u Zagreb dodatno će unaprijediti znanstveno istraživačku aktivnost te očekujemo još veće uključivanje u Europski istraživački prostor sudjelovanjem u istraživačkim programima Europske unije i drugim međunarodnim programima. Djelovanjem ovih centara očekujemo i novu znanstvenu kvalitetu koja će se izdignuti iznad pojedinačnih individualnih znanstvenih rezultata i koja će okupiti interdisciplinarnu mrežu inovativnih znanstvenika i znanstvenih timova te gospodarskih i javnih subjekata koji sustavno provode istraživanja u području biomedicinskih znanosti.</w:t>
      </w:r>
    </w:p>
    <w:p w:rsidR="0059322F" w:rsidRPr="00A27968" w:rsidRDefault="0059322F" w:rsidP="0059322F">
      <w:pPr>
        <w:spacing w:after="0" w:line="240" w:lineRule="auto"/>
        <w:rPr>
          <w:rFonts w:cs="Arial"/>
          <w:b/>
          <w:color w:val="000000" w:themeColor="text1"/>
        </w:rPr>
      </w:pPr>
      <w:bookmarkStart w:id="10" w:name="_Toc406590770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5.3. Program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stručne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djelatnosti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–</w:t>
      </w:r>
      <w:bookmarkEnd w:id="10"/>
      <w:r w:rsidRPr="00A27968">
        <w:rPr>
          <w:rFonts w:cs="Arial"/>
          <w:b/>
          <w:color w:val="000000" w:themeColor="text1"/>
        </w:rPr>
        <w:t xml:space="preserve">  </w:t>
      </w:r>
      <w:r w:rsidRPr="00A27968">
        <w:rPr>
          <w:rFonts w:eastAsia="Times New Roman" w:cs="Arial"/>
          <w:color w:val="000000" w:themeColor="text1"/>
          <w:lang w:val="hr-HR" w:eastAsia="hr-HR"/>
        </w:rPr>
        <w:t xml:space="preserve">Cilj je dodatno uvođenje novih oblika stručnog i znanstvenog usavršavanja djelatnika u zdravstvu kao dio </w:t>
      </w:r>
      <w:proofErr w:type="spellStart"/>
      <w:r w:rsidRPr="00A27968">
        <w:rPr>
          <w:rFonts w:eastAsia="Times New Roman" w:cs="Arial"/>
          <w:color w:val="000000" w:themeColor="text1"/>
          <w:lang w:val="hr-HR" w:eastAsia="hr-HR"/>
        </w:rPr>
        <w:t>cijeloživotnog</w:t>
      </w:r>
      <w:proofErr w:type="spellEnd"/>
      <w:r w:rsidRPr="00A27968">
        <w:rPr>
          <w:rFonts w:eastAsia="Times New Roman" w:cs="Arial"/>
          <w:color w:val="000000" w:themeColor="text1"/>
          <w:lang w:val="hr-HR" w:eastAsia="hr-HR"/>
        </w:rPr>
        <w:t xml:space="preserve"> učenja, te ustrojavanje i provođenje novih domaćih i međunarodnih tečajeva i programa radi proširivanja znanja i vještina studenata, djelatnika u zdravstvu i drugih zainteresiranih s ciljem praćenja novih znanstvenih dostignuća i razmjene osobnih iskustava s drugima.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Isto tako je važno napomenuti da je i provođenje zdravstvene djelatnosti za potrebe fakultetske nastave iznimno važan segment stručne djelatnosti Fakulteta koje će se isto tako dodatno razvijati i provoditi.</w:t>
      </w:r>
    </w:p>
    <w:p w:rsidR="0059322F" w:rsidRPr="00A27968" w:rsidRDefault="0059322F" w:rsidP="0059322F">
      <w:pPr>
        <w:pStyle w:val="Heading1"/>
        <w:rPr>
          <w:rFonts w:asciiTheme="minorHAnsi" w:hAnsiTheme="minorHAnsi"/>
          <w:sz w:val="24"/>
          <w:szCs w:val="24"/>
        </w:rPr>
      </w:pPr>
      <w:bookmarkStart w:id="11" w:name="_Toc406590771"/>
      <w:r w:rsidRPr="00A27968">
        <w:rPr>
          <w:rFonts w:asciiTheme="minorHAnsi" w:hAnsiTheme="minorHAnsi"/>
          <w:sz w:val="24"/>
          <w:szCs w:val="24"/>
        </w:rPr>
        <w:lastRenderedPageBreak/>
        <w:t xml:space="preserve">6. </w:t>
      </w:r>
      <w:proofErr w:type="spellStart"/>
      <w:r w:rsidRPr="00A27968">
        <w:rPr>
          <w:rFonts w:asciiTheme="minorHAnsi" w:hAnsiTheme="minorHAnsi"/>
          <w:sz w:val="24"/>
          <w:szCs w:val="24"/>
        </w:rPr>
        <w:t>Ishodišta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27968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kojima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A27968">
        <w:rPr>
          <w:rFonts w:asciiTheme="minorHAnsi" w:hAnsiTheme="minorHAnsi"/>
          <w:sz w:val="24"/>
          <w:szCs w:val="24"/>
        </w:rPr>
        <w:t>zasnivaju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izračuni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A27968">
        <w:rPr>
          <w:rFonts w:asciiTheme="minorHAnsi" w:hAnsiTheme="minorHAnsi"/>
          <w:sz w:val="24"/>
          <w:szCs w:val="24"/>
        </w:rPr>
        <w:t>ocjene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potrebnih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sr</w:t>
      </w:r>
      <w:r>
        <w:rPr>
          <w:rFonts w:asciiTheme="minorHAnsi" w:hAnsiTheme="minorHAnsi"/>
          <w:sz w:val="24"/>
          <w:szCs w:val="24"/>
        </w:rPr>
        <w:t>edstava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provođenje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programa</w:t>
      </w:r>
      <w:bookmarkEnd w:id="11"/>
      <w:proofErr w:type="spellEnd"/>
    </w:p>
    <w:p w:rsidR="0059322F" w:rsidRPr="00A27968" w:rsidRDefault="0059322F" w:rsidP="0059322F">
      <w:pPr>
        <w:spacing w:after="0" w:line="240" w:lineRule="auto"/>
        <w:rPr>
          <w:rFonts w:cs="Arial"/>
          <w:b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proofErr w:type="spellStart"/>
      <w:r w:rsidRPr="00A27968">
        <w:rPr>
          <w:rFonts w:cs="Arial"/>
          <w:color w:val="000000" w:themeColor="text1"/>
        </w:rPr>
        <w:t>Izvori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sredstava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financiranje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rada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Fakulteta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su</w:t>
      </w:r>
      <w:proofErr w:type="spellEnd"/>
      <w:r w:rsidRPr="00A27968">
        <w:rPr>
          <w:rFonts w:cs="Arial"/>
          <w:color w:val="000000" w:themeColor="text1"/>
        </w:rPr>
        <w:t>:</w:t>
      </w: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r w:rsidRPr="00A27968">
        <w:rPr>
          <w:rFonts w:cs="Arial"/>
          <w:color w:val="000000" w:themeColor="text1"/>
        </w:rPr>
        <w:t xml:space="preserve">1. </w:t>
      </w:r>
      <w:proofErr w:type="spellStart"/>
      <w:r w:rsidRPr="00A27968">
        <w:rPr>
          <w:rFonts w:cs="Arial"/>
          <w:color w:val="000000" w:themeColor="text1"/>
        </w:rPr>
        <w:t>Opći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prihodi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primici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skupina</w:t>
      </w:r>
      <w:proofErr w:type="spellEnd"/>
      <w:r w:rsidRPr="00A27968">
        <w:rPr>
          <w:rFonts w:cs="Arial"/>
          <w:color w:val="000000" w:themeColor="text1"/>
        </w:rPr>
        <w:t xml:space="preserve"> 671, </w:t>
      </w:r>
      <w:proofErr w:type="spellStart"/>
      <w:r w:rsidRPr="00A27968">
        <w:rPr>
          <w:rFonts w:cs="Arial"/>
          <w:color w:val="000000" w:themeColor="text1"/>
        </w:rPr>
        <w:t>državni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proračun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financiranje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plaća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naknada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zaposlenih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djelatnika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znanstvenih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novaka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podmirenje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ekshumacija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podmirenje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dijela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hladnog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pogona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dijela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aktivnosti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studenata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proofErr w:type="gramStart"/>
      <w:r w:rsidRPr="00A27968">
        <w:rPr>
          <w:rFonts w:cs="Arial"/>
          <w:color w:val="000000" w:themeColor="text1"/>
        </w:rPr>
        <w:t>te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finaciranje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znanstvenih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projekata</w:t>
      </w:r>
      <w:proofErr w:type="spellEnd"/>
      <w:r w:rsidRPr="00A27968">
        <w:rPr>
          <w:rFonts w:cs="Arial"/>
          <w:color w:val="000000" w:themeColor="text1"/>
        </w:rPr>
        <w:t>.</w:t>
      </w: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r w:rsidRPr="00A27968">
        <w:rPr>
          <w:rFonts w:cs="Arial"/>
          <w:color w:val="000000" w:themeColor="text1"/>
        </w:rPr>
        <w:t xml:space="preserve">2. </w:t>
      </w:r>
      <w:proofErr w:type="spellStart"/>
      <w:r w:rsidRPr="00A27968">
        <w:rPr>
          <w:rFonts w:cs="Arial"/>
          <w:color w:val="000000" w:themeColor="text1"/>
        </w:rPr>
        <w:t>Opći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prihodi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primici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skupina</w:t>
      </w:r>
      <w:proofErr w:type="spellEnd"/>
      <w:r w:rsidRPr="00A27968">
        <w:rPr>
          <w:rFonts w:cs="Arial"/>
          <w:color w:val="000000" w:themeColor="text1"/>
        </w:rPr>
        <w:t xml:space="preserve"> 671, </w:t>
      </w:r>
      <w:proofErr w:type="spellStart"/>
      <w:r w:rsidRPr="00A27968">
        <w:rPr>
          <w:rFonts w:cs="Arial"/>
          <w:color w:val="000000" w:themeColor="text1"/>
        </w:rPr>
        <w:t>županijski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gradski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odnose</w:t>
      </w:r>
      <w:proofErr w:type="spellEnd"/>
      <w:r w:rsidRPr="00A27968">
        <w:rPr>
          <w:rFonts w:cs="Arial"/>
          <w:color w:val="000000" w:themeColor="text1"/>
        </w:rPr>
        <w:t xml:space="preserve"> se </w:t>
      </w:r>
      <w:proofErr w:type="spellStart"/>
      <w:r w:rsidRPr="00A27968">
        <w:rPr>
          <w:rFonts w:cs="Arial"/>
          <w:color w:val="000000" w:themeColor="text1"/>
        </w:rPr>
        <w:t>uglavnom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A27968">
        <w:rPr>
          <w:rFonts w:cs="Arial"/>
          <w:color w:val="000000" w:themeColor="text1"/>
        </w:rPr>
        <w:t>na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namjenjene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mrtvozorništva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obdukcija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podmirenje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drugog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dijela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ekshumacija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analiza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mišljenja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patohistoloških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nalaza</w:t>
      </w:r>
      <w:proofErr w:type="spellEnd"/>
      <w:r w:rsidRPr="00A27968">
        <w:rPr>
          <w:rFonts w:cs="Arial"/>
          <w:color w:val="000000" w:themeColor="text1"/>
        </w:rPr>
        <w:t>.</w:t>
      </w: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r w:rsidRPr="00A27968">
        <w:rPr>
          <w:rFonts w:cs="Arial"/>
          <w:color w:val="000000" w:themeColor="text1"/>
        </w:rPr>
        <w:t xml:space="preserve">3. </w:t>
      </w:r>
      <w:proofErr w:type="spellStart"/>
      <w:r w:rsidRPr="00A27968">
        <w:rPr>
          <w:rFonts w:cs="Arial"/>
          <w:color w:val="000000" w:themeColor="text1"/>
        </w:rPr>
        <w:t>Vlastiti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prihodi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skupine</w:t>
      </w:r>
      <w:proofErr w:type="spellEnd"/>
      <w:r w:rsidRPr="00A27968">
        <w:rPr>
          <w:rFonts w:cs="Arial"/>
          <w:color w:val="000000" w:themeColor="text1"/>
        </w:rPr>
        <w:t xml:space="preserve"> 652 i 661 </w:t>
      </w:r>
      <w:proofErr w:type="spellStart"/>
      <w:r w:rsidRPr="00A27968">
        <w:rPr>
          <w:rFonts w:cs="Arial"/>
          <w:color w:val="000000" w:themeColor="text1"/>
        </w:rPr>
        <w:t>sastoje</w:t>
      </w:r>
      <w:proofErr w:type="spellEnd"/>
      <w:r w:rsidRPr="00A27968">
        <w:rPr>
          <w:rFonts w:cs="Arial"/>
          <w:color w:val="000000" w:themeColor="text1"/>
        </w:rPr>
        <w:t xml:space="preserve"> se </w:t>
      </w:r>
      <w:proofErr w:type="spellStart"/>
      <w:r w:rsidRPr="00A27968">
        <w:rPr>
          <w:rFonts w:cs="Arial"/>
          <w:color w:val="000000" w:themeColor="text1"/>
        </w:rPr>
        <w:t>od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A27968">
        <w:rPr>
          <w:rFonts w:cs="Arial"/>
          <w:color w:val="000000" w:themeColor="text1"/>
        </w:rPr>
        <w:t>iz</w:t>
      </w:r>
      <w:proofErr w:type="spellEnd"/>
      <w:r w:rsidRPr="00A27968">
        <w:rPr>
          <w:rFonts w:cs="Arial"/>
          <w:color w:val="000000" w:themeColor="text1"/>
        </w:rPr>
        <w:t xml:space="preserve"> :</w:t>
      </w:r>
      <w:proofErr w:type="gramEnd"/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r w:rsidRPr="00A27968">
        <w:rPr>
          <w:rFonts w:cs="Arial"/>
          <w:color w:val="000000" w:themeColor="text1"/>
        </w:rPr>
        <w:t xml:space="preserve"> 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dijela školarina diplomskog studija medicine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ukupnih školarina studija medicine na engleskom jeziku 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ukupnih školarina studija sestrinstva 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ukupnih školarina doktorskih i ostalih specijalističkih poslijediplomskih studija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prihodi od provođenja trajnog medicinskog usavršavanja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prihodi od stručne djelatnosti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prihodi od znanstvenih projekta izvan državnog, županijskog i gradskog proračuna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prihoda  od usluga medicinskih vještačenja</w:t>
      </w:r>
    </w:p>
    <w:p w:rsidR="0059322F" w:rsidRPr="00A27968" w:rsidRDefault="0059322F" w:rsidP="005932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prihoda od iznajmljivanja prostora i kamata, te ostali prihodi</w:t>
      </w:r>
    </w:p>
    <w:p w:rsidR="0059322F" w:rsidRPr="00A27968" w:rsidRDefault="0059322F" w:rsidP="0059322F">
      <w:pPr>
        <w:pStyle w:val="ListParagraph"/>
        <w:spacing w:after="0" w:line="240" w:lineRule="auto"/>
        <w:ind w:left="360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4. Vlastiti prihodi, skupine 632 i 633 - Pomoći, sastoje se od prihoda iz EU za provođenje znanstvenih projekata</w:t>
      </w:r>
      <w:r>
        <w:rPr>
          <w:rFonts w:eastAsia="Times New Roman" w:cs="Arial"/>
          <w:color w:val="000000" w:themeColor="text1"/>
          <w:lang w:val="hr-HR" w:eastAsia="hr-HR"/>
        </w:rPr>
        <w:t>.</w:t>
      </w:r>
      <w:r w:rsidRPr="00A27968">
        <w:rPr>
          <w:rFonts w:eastAsia="Times New Roman" w:cs="Arial"/>
          <w:color w:val="000000" w:themeColor="text1"/>
          <w:lang w:val="hr-HR" w:eastAsia="hr-HR"/>
        </w:rPr>
        <w:t xml:space="preserve"> 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>5. Vlastiti prihodi, donacije skupine 661 sastoje se od prihoda kotizacija za trajno medicinsko usavršavanje</w:t>
      </w:r>
      <w:r>
        <w:rPr>
          <w:rFonts w:eastAsia="Times New Roman" w:cs="Arial"/>
          <w:color w:val="000000" w:themeColor="text1"/>
          <w:lang w:val="hr-HR" w:eastAsia="hr-HR"/>
        </w:rPr>
        <w:t>.</w:t>
      </w:r>
      <w:r w:rsidRPr="00A27968">
        <w:rPr>
          <w:rFonts w:eastAsia="Times New Roman" w:cs="Arial"/>
          <w:color w:val="000000" w:themeColor="text1"/>
          <w:lang w:val="hr-HR" w:eastAsia="hr-HR"/>
        </w:rPr>
        <w:t xml:space="preserve"> 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6. Prihodi za posebne namjene, skupine 671 sastoje se od participacija školarina od strane proračuna i prihoda za realizaciju ciljeva.  </w:t>
      </w: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proofErr w:type="gramStart"/>
      <w:r w:rsidRPr="00A27968">
        <w:rPr>
          <w:rFonts w:cs="Arial"/>
          <w:color w:val="000000" w:themeColor="text1"/>
        </w:rPr>
        <w:t xml:space="preserve">U </w:t>
      </w:r>
      <w:proofErr w:type="spellStart"/>
      <w:r w:rsidRPr="00A27968">
        <w:rPr>
          <w:rFonts w:cs="Arial"/>
          <w:color w:val="000000" w:themeColor="text1"/>
        </w:rPr>
        <w:t>dijelu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najveći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namjenjen</w:t>
      </w:r>
      <w:proofErr w:type="spellEnd"/>
      <w:r w:rsidRPr="00A27968">
        <w:rPr>
          <w:rFonts w:cs="Arial"/>
          <w:color w:val="000000" w:themeColor="text1"/>
        </w:rPr>
        <w:t xml:space="preserve"> je </w:t>
      </w:r>
      <w:proofErr w:type="spellStart"/>
      <w:r w:rsidRPr="00A27968">
        <w:rPr>
          <w:rFonts w:cs="Arial"/>
          <w:color w:val="000000" w:themeColor="text1"/>
        </w:rPr>
        <w:t>pokriću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plaća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naknada</w:t>
      </w:r>
      <w:proofErr w:type="spellEnd"/>
      <w:r w:rsidRPr="00A27968">
        <w:rPr>
          <w:rFonts w:cs="Arial"/>
          <w:color w:val="000000" w:themeColor="text1"/>
        </w:rPr>
        <w:t>.</w:t>
      </w:r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Ostali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troškova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odnosi</w:t>
      </w:r>
      <w:proofErr w:type="spellEnd"/>
      <w:r w:rsidRPr="00A27968">
        <w:rPr>
          <w:rFonts w:cs="Arial"/>
          <w:color w:val="000000" w:themeColor="text1"/>
        </w:rPr>
        <w:t xml:space="preserve"> se </w:t>
      </w:r>
      <w:proofErr w:type="spellStart"/>
      <w:proofErr w:type="gramStart"/>
      <w:r w:rsidRPr="00A27968">
        <w:rPr>
          <w:rFonts w:cs="Arial"/>
          <w:color w:val="000000" w:themeColor="text1"/>
        </w:rPr>
        <w:t>na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materijalne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kapitalne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rashode</w:t>
      </w:r>
      <w:proofErr w:type="spellEnd"/>
      <w:r w:rsidRPr="00A27968">
        <w:rPr>
          <w:rFonts w:cs="Arial"/>
          <w:color w:val="000000" w:themeColor="text1"/>
        </w:rPr>
        <w:t xml:space="preserve">. </w:t>
      </w: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color w:val="000000" w:themeColor="text1"/>
        </w:rPr>
      </w:pPr>
      <w:r w:rsidRPr="00A27968">
        <w:rPr>
          <w:rFonts w:cs="Arial"/>
          <w:color w:val="000000" w:themeColor="text1"/>
        </w:rPr>
        <w:t xml:space="preserve">U </w:t>
      </w:r>
      <w:proofErr w:type="spellStart"/>
      <w:r w:rsidRPr="00A27968">
        <w:rPr>
          <w:rFonts w:cs="Arial"/>
          <w:color w:val="000000" w:themeColor="text1"/>
        </w:rPr>
        <w:t>dijelu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provođenja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kapitalane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aktivnosti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2015.g.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programe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osnovne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dopunske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djelatnosti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planirana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samo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sredstva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iznosu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</w:t>
      </w:r>
      <w:proofErr w:type="spellEnd"/>
      <w:r w:rsidRPr="00A27968">
        <w:rPr>
          <w:rFonts w:cs="Arial"/>
          <w:color w:val="000000" w:themeColor="text1"/>
        </w:rPr>
        <w:t xml:space="preserve"> 7.000.000</w:t>
      </w:r>
      <w:proofErr w:type="gramStart"/>
      <w:r w:rsidRPr="00A27968">
        <w:rPr>
          <w:rFonts w:cs="Arial"/>
          <w:color w:val="000000" w:themeColor="text1"/>
        </w:rPr>
        <w:t>,00</w:t>
      </w:r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kn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nabavu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uređaja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magnetske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rezonance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male </w:t>
      </w:r>
      <w:proofErr w:type="spellStart"/>
      <w:r w:rsidRPr="00A27968">
        <w:rPr>
          <w:rFonts w:cs="Arial"/>
          <w:color w:val="000000" w:themeColor="text1"/>
        </w:rPr>
        <w:t>životinje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iz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sredstava</w:t>
      </w:r>
      <w:proofErr w:type="spellEnd"/>
      <w:r w:rsidRPr="00A27968">
        <w:rPr>
          <w:rFonts w:cs="Arial"/>
          <w:color w:val="000000" w:themeColor="text1"/>
        </w:rPr>
        <w:t xml:space="preserve"> EU. 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razliku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pokrića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ostalih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materijalnih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kapitalnih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aktivnosti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između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iskazanih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planiranih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ukupnih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materijalnih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kapitalnih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rashoda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iznosu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</w:t>
      </w:r>
      <w:proofErr w:type="spellEnd"/>
      <w:r w:rsidRPr="00A27968">
        <w:rPr>
          <w:rFonts w:cs="Arial"/>
          <w:color w:val="000000" w:themeColor="text1"/>
        </w:rPr>
        <w:t xml:space="preserve"> 5.300.000</w:t>
      </w:r>
      <w:proofErr w:type="gramStart"/>
      <w:r w:rsidRPr="00A27968">
        <w:rPr>
          <w:rFonts w:cs="Arial"/>
          <w:color w:val="000000" w:themeColor="text1"/>
        </w:rPr>
        <w:t>,00</w:t>
      </w:r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koristiti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će</w:t>
      </w:r>
      <w:proofErr w:type="spellEnd"/>
      <w:r w:rsidRPr="00A27968">
        <w:rPr>
          <w:rFonts w:cs="Arial"/>
          <w:color w:val="000000" w:themeColor="text1"/>
        </w:rPr>
        <w:t xml:space="preserve"> se </w:t>
      </w:r>
      <w:proofErr w:type="spellStart"/>
      <w:r w:rsidRPr="00A27968">
        <w:rPr>
          <w:rFonts w:cs="Arial"/>
          <w:color w:val="000000" w:themeColor="text1"/>
        </w:rPr>
        <w:t>prihoda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iz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proteklih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godina</w:t>
      </w:r>
      <w:proofErr w:type="spellEnd"/>
      <w:r w:rsidRPr="00A27968">
        <w:rPr>
          <w:rFonts w:cs="Arial"/>
          <w:color w:val="000000" w:themeColor="text1"/>
        </w:rPr>
        <w:t>.</w:t>
      </w:r>
    </w:p>
    <w:p w:rsidR="0059322F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Pr="00A27968" w:rsidRDefault="0059322F" w:rsidP="005932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9322F" w:rsidRPr="00A27968" w:rsidRDefault="0059322F" w:rsidP="0059322F">
      <w:pPr>
        <w:pStyle w:val="Heading2"/>
        <w:rPr>
          <w:rFonts w:asciiTheme="minorHAnsi" w:hAnsiTheme="minorHAnsi"/>
          <w:sz w:val="24"/>
          <w:szCs w:val="24"/>
        </w:rPr>
      </w:pPr>
      <w:bookmarkStart w:id="12" w:name="_Toc406590772"/>
      <w:r w:rsidRPr="00A27968">
        <w:rPr>
          <w:rFonts w:asciiTheme="minorHAnsi" w:hAnsiTheme="minorHAnsi"/>
          <w:sz w:val="24"/>
          <w:szCs w:val="24"/>
        </w:rPr>
        <w:lastRenderedPageBreak/>
        <w:t xml:space="preserve">7. </w:t>
      </w:r>
      <w:proofErr w:type="spellStart"/>
      <w:r w:rsidRPr="00A27968">
        <w:rPr>
          <w:rFonts w:asciiTheme="minorHAnsi" w:hAnsiTheme="minorHAnsi"/>
          <w:sz w:val="24"/>
          <w:szCs w:val="24"/>
        </w:rPr>
        <w:t>Izvještaj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A27968">
        <w:rPr>
          <w:rFonts w:asciiTheme="minorHAnsi" w:hAnsiTheme="minorHAnsi"/>
          <w:sz w:val="24"/>
          <w:szCs w:val="24"/>
        </w:rPr>
        <w:t>postignutim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ciljevima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A27968">
        <w:rPr>
          <w:rFonts w:asciiTheme="minorHAnsi" w:hAnsiTheme="minorHAnsi"/>
          <w:sz w:val="24"/>
          <w:szCs w:val="24"/>
        </w:rPr>
        <w:t>rezultatima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programa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temeljenim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27968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pokazateljima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uspješnosti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iz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nadležnosti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proračunskog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korisnika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A27968">
        <w:rPr>
          <w:rFonts w:asciiTheme="minorHAnsi" w:hAnsiTheme="minorHAnsi"/>
          <w:sz w:val="24"/>
          <w:szCs w:val="24"/>
        </w:rPr>
        <w:t>prethodnoj</w:t>
      </w:r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27968">
        <w:rPr>
          <w:rFonts w:asciiTheme="minorHAnsi" w:hAnsiTheme="minorHAnsi"/>
          <w:sz w:val="24"/>
          <w:szCs w:val="24"/>
        </w:rPr>
        <w:t>godini</w:t>
      </w:r>
      <w:bookmarkEnd w:id="12"/>
      <w:proofErr w:type="spellEnd"/>
      <w:r w:rsidRPr="00A27968">
        <w:rPr>
          <w:rFonts w:asciiTheme="minorHAnsi" w:hAnsiTheme="minorHAnsi"/>
          <w:sz w:val="24"/>
          <w:szCs w:val="24"/>
        </w:rPr>
        <w:t xml:space="preserve"> </w:t>
      </w:r>
    </w:p>
    <w:p w:rsidR="0059322F" w:rsidRPr="00A27968" w:rsidRDefault="0059322F" w:rsidP="0059322F">
      <w:pPr>
        <w:spacing w:after="0" w:line="240" w:lineRule="auto"/>
        <w:rPr>
          <w:rFonts w:cs="Arial"/>
          <w:b/>
          <w:color w:val="000000" w:themeColor="text1"/>
        </w:rPr>
      </w:pPr>
    </w:p>
    <w:p w:rsidR="0059322F" w:rsidRPr="00A27968" w:rsidRDefault="0059322F" w:rsidP="0059322F">
      <w:pPr>
        <w:spacing w:after="0" w:line="240" w:lineRule="auto"/>
        <w:rPr>
          <w:rFonts w:cs="Arial"/>
          <w:b/>
          <w:color w:val="000000" w:themeColor="text1"/>
        </w:rPr>
      </w:pPr>
      <w:bookmarkStart w:id="13" w:name="_Toc406590773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7.1 Program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nastavne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djelatnosti</w:t>
      </w:r>
      <w:bookmarkEnd w:id="13"/>
      <w:proofErr w:type="spellEnd"/>
      <w:r w:rsidRPr="00A27968">
        <w:rPr>
          <w:rFonts w:cs="Arial"/>
          <w:b/>
          <w:color w:val="000000" w:themeColor="text1"/>
        </w:rPr>
        <w:t xml:space="preserve"> –  </w:t>
      </w:r>
      <w:r w:rsidRPr="00A27968">
        <w:rPr>
          <w:rFonts w:eastAsia="Times New Roman" w:cs="Arial"/>
          <w:color w:val="000000" w:themeColor="text1"/>
          <w:lang w:val="hr-HR" w:eastAsia="hr-HR"/>
        </w:rPr>
        <w:t xml:space="preserve">Na Fakultetu je u protekloj godini studiralo oko 1800 studenata na diplomskom studiju medicine, oko 300 studenata na studiju medicine na engleskom jeziku te oko 100 studenata na studiju sestrinstva i  500 studenata na doktorskim i ostalim specijalističkim poslijediplomskim studijima. </w:t>
      </w:r>
    </w:p>
    <w:p w:rsidR="0059322F" w:rsidRPr="00A27968" w:rsidRDefault="0059322F" w:rsidP="0059322F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bookmarkStart w:id="14" w:name="_Toc406590774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7.2 Program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znanstvene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djelatnosti</w:t>
      </w:r>
      <w:bookmarkEnd w:id="14"/>
      <w:proofErr w:type="spellEnd"/>
      <w:r w:rsidRPr="00A27968">
        <w:rPr>
          <w:rFonts w:asciiTheme="minorHAnsi" w:hAnsiTheme="minorHAnsi" w:cs="Arial"/>
          <w:color w:val="000000" w:themeColor="text1"/>
          <w:sz w:val="22"/>
          <w:szCs w:val="22"/>
        </w:rPr>
        <w:t xml:space="preserve">  -  Na Medicinskom fakultetu oformljen je </w:t>
      </w:r>
      <w:r w:rsidRPr="00A27968">
        <w:rPr>
          <w:rFonts w:asciiTheme="minorHAnsi" w:hAnsiTheme="minorHAnsi"/>
          <w:color w:val="000000" w:themeColor="text1"/>
          <w:sz w:val="22"/>
          <w:szCs w:val="22"/>
        </w:rPr>
        <w:t xml:space="preserve">Integrirani Znanstveni centar izvrsnosti od strane Nacionalnog vijeća za znanost te proglašen u Ministarstvu znanosti, obrazovanja i sporta, a na temelju međunarodnog vrednovanja znanstveno istraživačke djelatnosti na Fakultetu. Budući da je vrednovanje temeljeno na izuzetno strogim kriterijima, te budući da je trajalo dvije godine, proglašavanje dvaju centara izvrsnosti </w:t>
      </w:r>
      <w:proofErr w:type="spellStart"/>
      <w:r w:rsidRPr="00A27968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Pr="00A27968">
        <w:rPr>
          <w:rFonts w:asciiTheme="minorHAnsi" w:hAnsiTheme="minorHAnsi"/>
          <w:color w:val="000000" w:themeColor="text1"/>
          <w:sz w:val="22"/>
          <w:szCs w:val="22"/>
        </w:rPr>
        <w:t>. integriranog centra potvrda je kontinuiranog kvalitetnog znanstvenog rada Fakulteta i njegovih znanstvenika.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bookmarkStart w:id="15" w:name="_Toc406590775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7.3 Program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stručne</w:t>
      </w:r>
      <w:proofErr w:type="spellEnd"/>
      <w:r w:rsidRPr="00A27968">
        <w:rPr>
          <w:rStyle w:val="Heading2Char"/>
          <w:rFonts w:asciiTheme="minorHAnsi" w:hAnsiTheme="minorHAnsi"/>
          <w:sz w:val="22"/>
          <w:szCs w:val="22"/>
        </w:rPr>
        <w:t xml:space="preserve"> </w:t>
      </w:r>
      <w:proofErr w:type="spellStart"/>
      <w:r w:rsidRPr="00A27968">
        <w:rPr>
          <w:rStyle w:val="Heading2Char"/>
          <w:rFonts w:asciiTheme="minorHAnsi" w:hAnsiTheme="minorHAnsi"/>
          <w:sz w:val="22"/>
          <w:szCs w:val="22"/>
        </w:rPr>
        <w:t>djelatnosti</w:t>
      </w:r>
      <w:bookmarkEnd w:id="15"/>
      <w:proofErr w:type="spellEnd"/>
      <w:r w:rsidRPr="00A27968">
        <w:rPr>
          <w:rFonts w:cs="Arial"/>
          <w:b/>
          <w:color w:val="000000" w:themeColor="text1"/>
        </w:rPr>
        <w:t xml:space="preserve"> –   </w:t>
      </w:r>
      <w:proofErr w:type="spellStart"/>
      <w:r w:rsidRPr="00A27968">
        <w:rPr>
          <w:rFonts w:cs="Arial"/>
          <w:color w:val="000000" w:themeColor="text1"/>
        </w:rPr>
        <w:t>za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stručne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dijelatnosti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rezultati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zadovoljavajući</w:t>
      </w:r>
      <w:proofErr w:type="spellEnd"/>
      <w:r w:rsidRPr="00A27968">
        <w:rPr>
          <w:rFonts w:cs="Arial"/>
          <w:color w:val="000000" w:themeColor="text1"/>
        </w:rPr>
        <w:t xml:space="preserve"> s </w:t>
      </w:r>
      <w:proofErr w:type="spellStart"/>
      <w:r w:rsidRPr="00A27968">
        <w:rPr>
          <w:rFonts w:cs="Arial"/>
          <w:color w:val="000000" w:themeColor="text1"/>
        </w:rPr>
        <w:t>obzirom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A27968">
        <w:rPr>
          <w:rFonts w:cs="Arial"/>
          <w:color w:val="000000" w:themeColor="text1"/>
        </w:rPr>
        <w:t>na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krizu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stanje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zdravstvu</w:t>
      </w:r>
      <w:proofErr w:type="spellEnd"/>
      <w:r w:rsidRPr="00A27968">
        <w:rPr>
          <w:rFonts w:cs="Arial"/>
          <w:color w:val="000000" w:themeColor="text1"/>
        </w:rPr>
        <w:t xml:space="preserve">. To se </w:t>
      </w:r>
      <w:proofErr w:type="spellStart"/>
      <w:r w:rsidRPr="00A27968">
        <w:rPr>
          <w:rFonts w:cs="Arial"/>
          <w:color w:val="000000" w:themeColor="text1"/>
        </w:rPr>
        <w:t>prvenstveno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odnosi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A27968">
        <w:rPr>
          <w:rFonts w:cs="Arial"/>
          <w:color w:val="000000" w:themeColor="text1"/>
        </w:rPr>
        <w:t>na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medicinska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vještaćenja</w:t>
      </w:r>
      <w:proofErr w:type="spellEnd"/>
      <w:r w:rsidRPr="00A27968">
        <w:rPr>
          <w:rFonts w:cs="Arial"/>
          <w:color w:val="000000" w:themeColor="text1"/>
        </w:rPr>
        <w:t xml:space="preserve">, DNA </w:t>
      </w:r>
      <w:proofErr w:type="spellStart"/>
      <w:r w:rsidRPr="00A27968">
        <w:rPr>
          <w:rFonts w:cs="Arial"/>
          <w:color w:val="000000" w:themeColor="text1"/>
        </w:rPr>
        <w:t>analiza</w:t>
      </w:r>
      <w:proofErr w:type="spellEnd"/>
      <w:r w:rsidRPr="00A27968">
        <w:rPr>
          <w:rFonts w:cs="Arial"/>
          <w:color w:val="000000" w:themeColor="text1"/>
        </w:rPr>
        <w:t xml:space="preserve">, </w:t>
      </w:r>
      <w:proofErr w:type="spellStart"/>
      <w:r w:rsidRPr="00A27968">
        <w:rPr>
          <w:rFonts w:cs="Arial"/>
          <w:color w:val="000000" w:themeColor="text1"/>
        </w:rPr>
        <w:t>patoloških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analiza</w:t>
      </w:r>
      <w:proofErr w:type="spellEnd"/>
      <w:r w:rsidRPr="00A27968">
        <w:rPr>
          <w:rFonts w:cs="Arial"/>
          <w:color w:val="000000" w:themeColor="text1"/>
        </w:rPr>
        <w:t xml:space="preserve"> i sl., </w:t>
      </w:r>
      <w:proofErr w:type="spellStart"/>
      <w:r w:rsidRPr="00A27968">
        <w:rPr>
          <w:rFonts w:cs="Arial"/>
          <w:color w:val="000000" w:themeColor="text1"/>
        </w:rPr>
        <w:t>budući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prihodi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od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ovih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dijeltanosti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približno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istom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nivou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kao</w:t>
      </w:r>
      <w:proofErr w:type="spellEnd"/>
      <w:r w:rsidRPr="00A27968">
        <w:rPr>
          <w:rFonts w:cs="Arial"/>
          <w:color w:val="000000" w:themeColor="text1"/>
        </w:rPr>
        <w:t xml:space="preserve"> i </w:t>
      </w:r>
      <w:proofErr w:type="spellStart"/>
      <w:r w:rsidRPr="00A27968">
        <w:rPr>
          <w:rFonts w:cs="Arial"/>
          <w:color w:val="000000" w:themeColor="text1"/>
        </w:rPr>
        <w:t>prethodnih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godina</w:t>
      </w:r>
      <w:proofErr w:type="spellEnd"/>
      <w:r w:rsidRPr="00A27968">
        <w:rPr>
          <w:rFonts w:cs="Arial"/>
          <w:color w:val="000000" w:themeColor="text1"/>
        </w:rPr>
        <w:t xml:space="preserve">. </w:t>
      </w:r>
      <w:proofErr w:type="spellStart"/>
      <w:r w:rsidRPr="00A27968">
        <w:rPr>
          <w:rFonts w:cs="Arial"/>
          <w:color w:val="000000" w:themeColor="text1"/>
        </w:rPr>
        <w:t>Tečajevi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trajnog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medicinskog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usavršavanja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kontrinuirano</w:t>
      </w:r>
      <w:proofErr w:type="spellEnd"/>
      <w:r w:rsidRPr="00A27968">
        <w:rPr>
          <w:rFonts w:cs="Arial"/>
          <w:color w:val="000000" w:themeColor="text1"/>
        </w:rPr>
        <w:t xml:space="preserve"> se </w:t>
      </w:r>
      <w:proofErr w:type="spellStart"/>
      <w:r w:rsidRPr="00A27968">
        <w:rPr>
          <w:rFonts w:cs="Arial"/>
          <w:color w:val="000000" w:themeColor="text1"/>
        </w:rPr>
        <w:t>provode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A27968">
        <w:rPr>
          <w:rFonts w:cs="Arial"/>
          <w:color w:val="000000" w:themeColor="text1"/>
        </w:rPr>
        <w:t>te</w:t>
      </w:r>
      <w:proofErr w:type="spellEnd"/>
      <w:proofErr w:type="gramEnd"/>
      <w:r w:rsidRPr="00A27968">
        <w:rPr>
          <w:rFonts w:cs="Arial"/>
          <w:color w:val="000000" w:themeColor="text1"/>
        </w:rPr>
        <w:t xml:space="preserve"> se </w:t>
      </w:r>
      <w:proofErr w:type="spellStart"/>
      <w:r w:rsidRPr="00A27968">
        <w:rPr>
          <w:rFonts w:cs="Arial"/>
          <w:color w:val="000000" w:themeColor="text1"/>
        </w:rPr>
        <w:t>nadograđuju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sa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novim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tematskim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proofErr w:type="spellStart"/>
      <w:r w:rsidRPr="00A27968">
        <w:rPr>
          <w:rFonts w:cs="Arial"/>
          <w:color w:val="000000" w:themeColor="text1"/>
        </w:rPr>
        <w:t>tečajevima</w:t>
      </w:r>
      <w:proofErr w:type="spellEnd"/>
      <w:r w:rsidRPr="00A27968">
        <w:rPr>
          <w:rFonts w:cs="Arial"/>
          <w:color w:val="000000" w:themeColor="text1"/>
        </w:rPr>
        <w:t xml:space="preserve"> u </w:t>
      </w:r>
      <w:proofErr w:type="spellStart"/>
      <w:r w:rsidRPr="00A27968">
        <w:rPr>
          <w:rFonts w:cs="Arial"/>
          <w:color w:val="000000" w:themeColor="text1"/>
        </w:rPr>
        <w:t>svrhu</w:t>
      </w:r>
      <w:proofErr w:type="spellEnd"/>
      <w:r w:rsidRPr="00A27968">
        <w:rPr>
          <w:rFonts w:cs="Arial"/>
          <w:color w:val="000000" w:themeColor="text1"/>
        </w:rPr>
        <w:t xml:space="preserve"> </w:t>
      </w:r>
      <w:r w:rsidRPr="00A27968">
        <w:rPr>
          <w:rFonts w:eastAsia="Times New Roman" w:cs="Arial"/>
          <w:color w:val="000000" w:themeColor="text1"/>
          <w:lang w:val="hr-HR" w:eastAsia="hr-HR"/>
        </w:rPr>
        <w:t xml:space="preserve">stručnog i znanstvenog usavršavanja djelatnika u zdravstvu kao dio </w:t>
      </w:r>
      <w:proofErr w:type="spellStart"/>
      <w:r w:rsidRPr="00A27968">
        <w:rPr>
          <w:rFonts w:eastAsia="Times New Roman" w:cs="Arial"/>
          <w:color w:val="000000" w:themeColor="text1"/>
          <w:lang w:val="hr-HR" w:eastAsia="hr-HR"/>
        </w:rPr>
        <w:t>cijeloživotnog</w:t>
      </w:r>
      <w:proofErr w:type="spellEnd"/>
      <w:r w:rsidRPr="00A27968">
        <w:rPr>
          <w:rFonts w:eastAsia="Times New Roman" w:cs="Arial"/>
          <w:color w:val="000000" w:themeColor="text1"/>
          <w:lang w:val="hr-HR" w:eastAsia="hr-HR"/>
        </w:rPr>
        <w:t xml:space="preserve"> učenja te s ciljem praćenja novih znanstvenih dostignuća.</w:t>
      </w:r>
    </w:p>
    <w:p w:rsidR="0059322F" w:rsidRPr="00A27968" w:rsidRDefault="0059322F" w:rsidP="0059322F">
      <w:pPr>
        <w:spacing w:after="0" w:line="240" w:lineRule="auto"/>
        <w:rPr>
          <w:rFonts w:eastAsia="Times New Roman" w:cs="Arial"/>
          <w:color w:val="000000" w:themeColor="text1"/>
          <w:lang w:val="hr-HR" w:eastAsia="hr-HR"/>
        </w:rPr>
      </w:pPr>
      <w:r w:rsidRPr="00A27968">
        <w:rPr>
          <w:rFonts w:eastAsia="Times New Roman" w:cs="Arial"/>
          <w:color w:val="000000" w:themeColor="text1"/>
          <w:lang w:val="hr-HR" w:eastAsia="hr-HR"/>
        </w:rPr>
        <w:t xml:space="preserve">U dijelu provođenja zdravstvene djelatnosti za potrebe fakultetske nastave i za studente Fakulteta, organizirana je ambulanta opće medicine u kojima studenti Fakulteta mogu potražiti stručnu pomoć. </w:t>
      </w:r>
    </w:p>
    <w:p w:rsidR="0059322F" w:rsidRPr="00A27968" w:rsidRDefault="0059322F" w:rsidP="0059322F">
      <w:pPr>
        <w:rPr>
          <w:b/>
          <w:color w:val="000000" w:themeColor="text1"/>
          <w:lang w:val="hr-HR"/>
        </w:rPr>
      </w:pPr>
    </w:p>
    <w:p w:rsidR="0059322F" w:rsidRPr="0059322F" w:rsidRDefault="0059322F" w:rsidP="0059322F">
      <w:pPr>
        <w:rPr>
          <w:color w:val="000000" w:themeColor="text1"/>
          <w:lang w:val="hr-HR"/>
        </w:rPr>
      </w:pPr>
      <w:r w:rsidRPr="0059322F">
        <w:rPr>
          <w:color w:val="000000" w:themeColor="text1"/>
          <w:lang w:val="hr-HR"/>
        </w:rPr>
        <w:t>Zagreb, 17. prosinca 2014.</w:t>
      </w:r>
    </w:p>
    <w:p w:rsidR="00C4714D" w:rsidRDefault="00C4714D" w:rsidP="0059322F">
      <w:pPr>
        <w:rPr>
          <w:color w:val="000000" w:themeColor="text1"/>
          <w:lang w:val="hr-HR"/>
        </w:rPr>
      </w:pPr>
    </w:p>
    <w:p w:rsidR="0059322F" w:rsidRDefault="00CD69FE" w:rsidP="0059322F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Prodekan za upravu i poslovanje</w:t>
      </w:r>
    </w:p>
    <w:p w:rsidR="00CD69FE" w:rsidRPr="0059322F" w:rsidRDefault="00CD69FE" w:rsidP="0059322F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Prof.dr.sc Marijan Klarica</w:t>
      </w:r>
    </w:p>
    <w:p w:rsidR="0059322F" w:rsidRDefault="0059322F" w:rsidP="0059322F">
      <w:pPr>
        <w:rPr>
          <w:b/>
          <w:color w:val="000000" w:themeColor="text1"/>
          <w:lang w:val="hr-HR"/>
        </w:rPr>
      </w:pPr>
    </w:p>
    <w:p w:rsidR="0059322F" w:rsidRPr="00A27968" w:rsidRDefault="0059322F" w:rsidP="0059322F">
      <w:pPr>
        <w:rPr>
          <w:b/>
          <w:color w:val="000000" w:themeColor="text1"/>
          <w:lang w:val="hr-HR"/>
        </w:rPr>
      </w:pPr>
      <w:r>
        <w:rPr>
          <w:b/>
          <w:color w:val="000000" w:themeColor="text1"/>
          <w:lang w:val="hr-HR"/>
        </w:rPr>
        <w:t>____________________________</w:t>
      </w:r>
    </w:p>
    <w:p w:rsidR="001F42AD" w:rsidRPr="00A31893" w:rsidRDefault="001F42AD" w:rsidP="001F42AD">
      <w:pPr>
        <w:spacing w:line="240" w:lineRule="auto"/>
        <w:ind w:left="6372"/>
      </w:pPr>
    </w:p>
    <w:sectPr w:rsidR="001F42AD" w:rsidRPr="00A31893" w:rsidSect="00057D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54" w:rsidRDefault="005C2154" w:rsidP="007116B9">
      <w:pPr>
        <w:spacing w:after="0" w:line="240" w:lineRule="auto"/>
      </w:pPr>
      <w:r>
        <w:separator/>
      </w:r>
    </w:p>
  </w:endnote>
  <w:endnote w:type="continuationSeparator" w:id="0">
    <w:p w:rsidR="005C2154" w:rsidRDefault="005C2154" w:rsidP="0071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B9" w:rsidRDefault="007116B9" w:rsidP="00394698">
    <w:pPr>
      <w:pStyle w:val="Footer"/>
      <w:jc w:val="center"/>
    </w:pPr>
    <w:proofErr w:type="spellStart"/>
    <w:r>
      <w:t>Medicinski</w:t>
    </w:r>
    <w:proofErr w:type="spellEnd"/>
    <w:r>
      <w:t xml:space="preserve"> </w:t>
    </w:r>
    <w:proofErr w:type="spellStart"/>
    <w:r>
      <w:t>fakultet</w:t>
    </w:r>
    <w:proofErr w:type="spellEnd"/>
    <w:r>
      <w:t xml:space="preserve">, </w:t>
    </w:r>
    <w:proofErr w:type="spellStart"/>
    <w:r w:rsidR="00FA7BA1">
      <w:t>Šalata</w:t>
    </w:r>
    <w:proofErr w:type="spellEnd"/>
    <w:r w:rsidR="00FA7BA1">
      <w:t xml:space="preserve"> 3, 10000 Zagreb;</w:t>
    </w:r>
    <w:r>
      <w:t xml:space="preserve"> </w:t>
    </w:r>
    <w:proofErr w:type="spellStart"/>
    <w:r w:rsidR="00FA7BA1" w:rsidRPr="008624B7">
      <w:rPr>
        <w:b/>
      </w:rPr>
      <w:t>Web</w:t>
    </w:r>
    <w:proofErr w:type="gramStart"/>
    <w:r w:rsidR="00FA7BA1" w:rsidRPr="008624B7">
      <w:rPr>
        <w:b/>
      </w:rPr>
      <w:t>:</w:t>
    </w:r>
    <w:r w:rsidR="00FA7BA1">
      <w:t>www.mef.hr</w:t>
    </w:r>
    <w:proofErr w:type="spellEnd"/>
    <w:proofErr w:type="gramEnd"/>
    <w:r w:rsidR="00FA7BA1">
      <w:t>;</w:t>
    </w:r>
    <w:r>
      <w:t xml:space="preserve"> </w:t>
    </w:r>
  </w:p>
  <w:p w:rsidR="007116B9" w:rsidRDefault="00FA7BA1" w:rsidP="00394698">
    <w:pPr>
      <w:pStyle w:val="Footer"/>
      <w:jc w:val="center"/>
    </w:pPr>
    <w:r w:rsidRPr="00394698">
      <w:rPr>
        <w:b/>
      </w:rPr>
      <w:t>OIB</w:t>
    </w:r>
    <w:proofErr w:type="gramStart"/>
    <w:r>
      <w:t>:45001686598</w:t>
    </w:r>
    <w:proofErr w:type="gramEnd"/>
    <w:r>
      <w:t>;</w:t>
    </w:r>
    <w:r w:rsidR="008624B7">
      <w:t xml:space="preserve"> </w:t>
    </w:r>
    <w:r w:rsidR="006A4DD4">
      <w:rPr>
        <w:b/>
      </w:rPr>
      <w:t>IBAN</w:t>
    </w:r>
    <w:r w:rsidRPr="008624B7">
      <w:rPr>
        <w:b/>
      </w:rPr>
      <w:t>:</w:t>
    </w:r>
    <w:r w:rsidR="006A4DD4" w:rsidRPr="006A4DD4">
      <w:t>HR8423</w:t>
    </w:r>
    <w:r w:rsidR="006A4DD4">
      <w:t>40009</w:t>
    </w:r>
    <w:r>
      <w:t>1110024619</w:t>
    </w:r>
  </w:p>
  <w:p w:rsidR="007116B9" w:rsidRDefault="007116B9" w:rsidP="003946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54" w:rsidRDefault="005C2154" w:rsidP="007116B9">
      <w:pPr>
        <w:spacing w:after="0" w:line="240" w:lineRule="auto"/>
      </w:pPr>
      <w:r>
        <w:separator/>
      </w:r>
    </w:p>
  </w:footnote>
  <w:footnote w:type="continuationSeparator" w:id="0">
    <w:p w:rsidR="005C2154" w:rsidRDefault="005C2154" w:rsidP="0071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86D"/>
    <w:multiLevelType w:val="hybridMultilevel"/>
    <w:tmpl w:val="B560B348"/>
    <w:lvl w:ilvl="0" w:tplc="4F780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F5350"/>
    <w:multiLevelType w:val="hybridMultilevel"/>
    <w:tmpl w:val="0D246E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33DF9"/>
    <w:multiLevelType w:val="hybridMultilevel"/>
    <w:tmpl w:val="55CAAE16"/>
    <w:lvl w:ilvl="0" w:tplc="4F780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52AF6"/>
    <w:multiLevelType w:val="hybridMultilevel"/>
    <w:tmpl w:val="A41A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AE4"/>
    <w:multiLevelType w:val="hybridMultilevel"/>
    <w:tmpl w:val="99224AA6"/>
    <w:lvl w:ilvl="0" w:tplc="69F688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F7A55"/>
    <w:multiLevelType w:val="hybridMultilevel"/>
    <w:tmpl w:val="E2626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6C0E"/>
    <w:multiLevelType w:val="hybridMultilevel"/>
    <w:tmpl w:val="232E15A8"/>
    <w:lvl w:ilvl="0" w:tplc="4F780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53"/>
    <w:rsid w:val="00016691"/>
    <w:rsid w:val="00025EE6"/>
    <w:rsid w:val="00027B91"/>
    <w:rsid w:val="00056637"/>
    <w:rsid w:val="00057DF6"/>
    <w:rsid w:val="000832D5"/>
    <w:rsid w:val="00097C55"/>
    <w:rsid w:val="000A02B9"/>
    <w:rsid w:val="000B0EF4"/>
    <w:rsid w:val="000C6620"/>
    <w:rsid w:val="000D49A2"/>
    <w:rsid w:val="000E3785"/>
    <w:rsid w:val="00153B79"/>
    <w:rsid w:val="00192F8C"/>
    <w:rsid w:val="001A6DA8"/>
    <w:rsid w:val="001B0777"/>
    <w:rsid w:val="001B42F0"/>
    <w:rsid w:val="001D61CE"/>
    <w:rsid w:val="001E16D2"/>
    <w:rsid w:val="001F42AD"/>
    <w:rsid w:val="00220653"/>
    <w:rsid w:val="002835DF"/>
    <w:rsid w:val="002C1511"/>
    <w:rsid w:val="002F2BFD"/>
    <w:rsid w:val="003158C1"/>
    <w:rsid w:val="00394698"/>
    <w:rsid w:val="003A15B0"/>
    <w:rsid w:val="00415289"/>
    <w:rsid w:val="00441688"/>
    <w:rsid w:val="00454460"/>
    <w:rsid w:val="00456B01"/>
    <w:rsid w:val="004916E5"/>
    <w:rsid w:val="004D4439"/>
    <w:rsid w:val="004D5A92"/>
    <w:rsid w:val="004F60F2"/>
    <w:rsid w:val="005903C9"/>
    <w:rsid w:val="0059322F"/>
    <w:rsid w:val="005A50CA"/>
    <w:rsid w:val="005C2154"/>
    <w:rsid w:val="005D2B18"/>
    <w:rsid w:val="005D5097"/>
    <w:rsid w:val="005E058D"/>
    <w:rsid w:val="006306BD"/>
    <w:rsid w:val="006347D6"/>
    <w:rsid w:val="0068050F"/>
    <w:rsid w:val="00692B4A"/>
    <w:rsid w:val="006A1398"/>
    <w:rsid w:val="006A4DD4"/>
    <w:rsid w:val="006B4C25"/>
    <w:rsid w:val="006F1C15"/>
    <w:rsid w:val="007116B9"/>
    <w:rsid w:val="00715388"/>
    <w:rsid w:val="00785FEC"/>
    <w:rsid w:val="007F2B9B"/>
    <w:rsid w:val="00837F63"/>
    <w:rsid w:val="008624B7"/>
    <w:rsid w:val="00866341"/>
    <w:rsid w:val="00897BE0"/>
    <w:rsid w:val="009110DE"/>
    <w:rsid w:val="00925A8C"/>
    <w:rsid w:val="00947DE8"/>
    <w:rsid w:val="00965E5B"/>
    <w:rsid w:val="009E1C53"/>
    <w:rsid w:val="00A00E78"/>
    <w:rsid w:val="00A01E74"/>
    <w:rsid w:val="00A31893"/>
    <w:rsid w:val="00A450E1"/>
    <w:rsid w:val="00A562D8"/>
    <w:rsid w:val="00A652F8"/>
    <w:rsid w:val="00A76591"/>
    <w:rsid w:val="00A92220"/>
    <w:rsid w:val="00A9461C"/>
    <w:rsid w:val="00A95D67"/>
    <w:rsid w:val="00AA56D3"/>
    <w:rsid w:val="00AB1BE3"/>
    <w:rsid w:val="00AB2966"/>
    <w:rsid w:val="00AF2BAB"/>
    <w:rsid w:val="00B1070D"/>
    <w:rsid w:val="00B117CE"/>
    <w:rsid w:val="00B17070"/>
    <w:rsid w:val="00B40E64"/>
    <w:rsid w:val="00BB10DA"/>
    <w:rsid w:val="00BE5D46"/>
    <w:rsid w:val="00C12A7C"/>
    <w:rsid w:val="00C4714D"/>
    <w:rsid w:val="00C62C07"/>
    <w:rsid w:val="00C6692D"/>
    <w:rsid w:val="00CB35F0"/>
    <w:rsid w:val="00CC221F"/>
    <w:rsid w:val="00CD531A"/>
    <w:rsid w:val="00CD69FE"/>
    <w:rsid w:val="00D00567"/>
    <w:rsid w:val="00D0353E"/>
    <w:rsid w:val="00DB4430"/>
    <w:rsid w:val="00E53A58"/>
    <w:rsid w:val="00E5748B"/>
    <w:rsid w:val="00E66C55"/>
    <w:rsid w:val="00EE53D8"/>
    <w:rsid w:val="00EF15B5"/>
    <w:rsid w:val="00EF26EA"/>
    <w:rsid w:val="00EF4677"/>
    <w:rsid w:val="00F04B60"/>
    <w:rsid w:val="00F1542B"/>
    <w:rsid w:val="00F66A78"/>
    <w:rsid w:val="00F85FA9"/>
    <w:rsid w:val="00FA7BA1"/>
    <w:rsid w:val="00FB4E16"/>
    <w:rsid w:val="00FE7D40"/>
    <w:rsid w:val="00FF1F78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F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2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2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1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6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B9"/>
    <w:rPr>
      <w:lang w:val="en-US"/>
    </w:rPr>
  </w:style>
  <w:style w:type="paragraph" w:styleId="ListParagraph">
    <w:name w:val="List Paragraph"/>
    <w:basedOn w:val="Normal"/>
    <w:uiPriority w:val="34"/>
    <w:qFormat/>
    <w:rsid w:val="005D2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22F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9322F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22F"/>
    <w:pPr>
      <w:outlineLvl w:val="9"/>
    </w:pPr>
  </w:style>
  <w:style w:type="paragraph" w:styleId="NormalWeb">
    <w:name w:val="Normal (Web)"/>
    <w:basedOn w:val="Normal"/>
    <w:uiPriority w:val="99"/>
    <w:unhideWhenUsed/>
    <w:rsid w:val="00593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9322F"/>
    <w:pPr>
      <w:spacing w:after="100"/>
    </w:pPr>
    <w:rPr>
      <w:rFonts w:asciiTheme="minorHAnsi" w:eastAsiaTheme="minorEastAsia" w:hAnsiTheme="minorHAnsi" w:cstheme="minorBidi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59322F"/>
    <w:pPr>
      <w:spacing w:after="100"/>
      <w:ind w:left="220"/>
    </w:pPr>
    <w:rPr>
      <w:rFonts w:asciiTheme="minorHAnsi" w:eastAsiaTheme="minorEastAsia" w:hAnsiTheme="minorHAnsi" w:cstheme="minorBidi"/>
      <w:lang w:bidi="en-US"/>
    </w:rPr>
  </w:style>
  <w:style w:type="character" w:styleId="Hyperlink">
    <w:name w:val="Hyperlink"/>
    <w:basedOn w:val="DefaultParagraphFont"/>
    <w:uiPriority w:val="99"/>
    <w:unhideWhenUsed/>
    <w:rsid w:val="00593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ja.dzapo\Documents\00C%20Diplomski%20radovi\Obrasci%20i%20Dopisi\Hrvatski%20obrasci\06_Obrazac%20za%20ocjenu%20DR%20(bez%20javne%20obrane)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06_Obrazac za ocjenu DR (bez javne obrane)1.dot</Template>
  <TotalTime>36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maja.dzapo</dc:creator>
  <cp:lastModifiedBy>maja.dzapo</cp:lastModifiedBy>
  <cp:revision>4</cp:revision>
  <cp:lastPrinted>2014-12-19T11:02:00Z</cp:lastPrinted>
  <dcterms:created xsi:type="dcterms:W3CDTF">2014-12-17T13:49:00Z</dcterms:created>
  <dcterms:modified xsi:type="dcterms:W3CDTF">2014-12-19T11:20:00Z</dcterms:modified>
</cp:coreProperties>
</file>