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13" w:rsidRDefault="009F68D6">
      <w:bookmarkStart w:id="0" w:name="_GoBack"/>
      <w:bookmarkEnd w:id="0"/>
      <w:r w:rsidRPr="00116D67">
        <w:rPr>
          <w:b/>
        </w:rPr>
        <w:t>MEDICINSKI FAKULTET</w:t>
      </w:r>
      <w:r>
        <w:t>,</w:t>
      </w:r>
      <w:r w:rsidR="00736664">
        <w:t xml:space="preserve"> </w:t>
      </w:r>
      <w:r>
        <w:t xml:space="preserve">Zagreb, </w:t>
      </w:r>
      <w:r w:rsidR="00736664">
        <w:t xml:space="preserve"> </w:t>
      </w:r>
      <w:r>
        <w:t>Šalata 3</w:t>
      </w:r>
    </w:p>
    <w:p w:rsidR="009F68D6" w:rsidRDefault="009F68D6" w:rsidP="009F68D6">
      <w:pPr>
        <w:spacing w:after="0" w:line="240" w:lineRule="auto"/>
      </w:pPr>
    </w:p>
    <w:p w:rsidR="009F68D6" w:rsidRDefault="009F68D6" w:rsidP="009F68D6">
      <w:pPr>
        <w:spacing w:after="0" w:line="240" w:lineRule="auto"/>
      </w:pPr>
      <w:r>
        <w:t>RAZDJEL:</w:t>
      </w:r>
      <w:r>
        <w:tab/>
        <w:t xml:space="preserve">080 </w:t>
      </w:r>
      <w:r>
        <w:tab/>
        <w:t>MINISTARSTVO ZNANOST.OBRAZ.I SPORTA</w:t>
      </w:r>
    </w:p>
    <w:p w:rsidR="009F68D6" w:rsidRDefault="009F68D6" w:rsidP="009F68D6">
      <w:pPr>
        <w:spacing w:after="0" w:line="240" w:lineRule="auto"/>
      </w:pPr>
      <w:r>
        <w:t>DJELATNOST:</w:t>
      </w:r>
      <w:r>
        <w:tab/>
        <w:t>8542</w:t>
      </w:r>
      <w:r>
        <w:tab/>
        <w:t>VISOKO OBRAZOVANJE</w:t>
      </w:r>
    </w:p>
    <w:p w:rsidR="009F68D6" w:rsidRDefault="009F68D6" w:rsidP="009F68D6">
      <w:pPr>
        <w:spacing w:after="0" w:line="240" w:lineRule="auto"/>
      </w:pPr>
      <w:r>
        <w:t>RAZINA:</w:t>
      </w:r>
      <w:r>
        <w:tab/>
        <w:t>11</w:t>
      </w:r>
    </w:p>
    <w:p w:rsidR="009F68D6" w:rsidRDefault="009F68D6" w:rsidP="009F68D6">
      <w:pPr>
        <w:spacing w:after="0" w:line="240" w:lineRule="auto"/>
      </w:pPr>
      <w:r>
        <w:t>RKP:</w:t>
      </w:r>
      <w:r>
        <w:tab/>
      </w:r>
      <w:r>
        <w:tab/>
        <w:t>01888</w:t>
      </w:r>
    </w:p>
    <w:p w:rsidR="009F68D6" w:rsidRDefault="009F68D6" w:rsidP="009F68D6">
      <w:pPr>
        <w:spacing w:after="0" w:line="240" w:lineRule="auto"/>
      </w:pPr>
      <w:r>
        <w:t>MB:</w:t>
      </w:r>
      <w:r>
        <w:tab/>
      </w:r>
      <w:r>
        <w:tab/>
        <w:t>03270211</w:t>
      </w:r>
    </w:p>
    <w:p w:rsidR="009F68D6" w:rsidRDefault="009F68D6" w:rsidP="009F68D6">
      <w:pPr>
        <w:spacing w:after="0" w:line="240" w:lineRule="auto"/>
      </w:pPr>
      <w:r>
        <w:t>OIB:</w:t>
      </w:r>
      <w:r>
        <w:tab/>
      </w:r>
      <w:r>
        <w:tab/>
        <w:t>45001686598</w:t>
      </w:r>
    </w:p>
    <w:p w:rsidR="0062678F" w:rsidRDefault="009F68D6" w:rsidP="009F68D6">
      <w:pPr>
        <w:spacing w:after="0" w:line="240" w:lineRule="auto"/>
      </w:pPr>
      <w:r>
        <w:t>ŽIRO RAČUN:</w:t>
      </w:r>
      <w:r>
        <w:tab/>
      </w:r>
      <w:r w:rsidR="0014790D">
        <w:t>HR</w:t>
      </w:r>
      <w:r w:rsidR="006B2A03">
        <w:t xml:space="preserve"> </w:t>
      </w:r>
      <w:r w:rsidR="0014790D">
        <w:t>84</w:t>
      </w:r>
      <w:r w:rsidR="00910E87">
        <w:t xml:space="preserve"> </w:t>
      </w:r>
      <w:r w:rsidR="0014790D">
        <w:t xml:space="preserve"> </w:t>
      </w:r>
      <w:r>
        <w:t xml:space="preserve">23400091110024619  </w:t>
      </w:r>
    </w:p>
    <w:p w:rsidR="009F68D6" w:rsidRDefault="009F68D6" w:rsidP="009F68D6">
      <w:pPr>
        <w:spacing w:after="0" w:line="240" w:lineRule="auto"/>
      </w:pPr>
    </w:p>
    <w:p w:rsidR="009F68D6" w:rsidRDefault="009F68D6" w:rsidP="009F68D6">
      <w:pPr>
        <w:spacing w:after="0" w:line="240" w:lineRule="auto"/>
      </w:pPr>
    </w:p>
    <w:p w:rsidR="009F68D6" w:rsidRPr="00116D67" w:rsidRDefault="006C6122" w:rsidP="009F68D6">
      <w:pPr>
        <w:spacing w:after="0" w:line="240" w:lineRule="auto"/>
        <w:jc w:val="center"/>
        <w:rPr>
          <w:i/>
        </w:rPr>
      </w:pPr>
      <w:r w:rsidRPr="00116D67">
        <w:rPr>
          <w:i/>
        </w:rPr>
        <w:t xml:space="preserve">Bilješke uz financijsko izvješće za </w:t>
      </w:r>
    </w:p>
    <w:p w:rsidR="006C6122" w:rsidRDefault="002149FB" w:rsidP="009F68D6">
      <w:pPr>
        <w:spacing w:after="0" w:line="240" w:lineRule="auto"/>
        <w:jc w:val="center"/>
        <w:rPr>
          <w:i/>
        </w:rPr>
      </w:pPr>
      <w:r>
        <w:rPr>
          <w:i/>
        </w:rPr>
        <w:t>razdoblje od 1.1.201</w:t>
      </w:r>
      <w:r w:rsidR="007D75BE">
        <w:rPr>
          <w:i/>
        </w:rPr>
        <w:t>8</w:t>
      </w:r>
      <w:r w:rsidR="006C6122" w:rsidRPr="00116D67">
        <w:rPr>
          <w:i/>
        </w:rPr>
        <w:t>.do 31.12.201</w:t>
      </w:r>
      <w:r w:rsidR="007D75BE">
        <w:rPr>
          <w:i/>
        </w:rPr>
        <w:t>8</w:t>
      </w:r>
      <w:r w:rsidR="006C6122" w:rsidRPr="00116D67">
        <w:rPr>
          <w:i/>
        </w:rPr>
        <w:t>.g.</w:t>
      </w:r>
    </w:p>
    <w:p w:rsidR="00612D75" w:rsidRDefault="00612D75" w:rsidP="009F68D6">
      <w:pPr>
        <w:spacing w:after="0" w:line="240" w:lineRule="auto"/>
        <w:jc w:val="center"/>
        <w:rPr>
          <w:i/>
        </w:rPr>
      </w:pPr>
    </w:p>
    <w:p w:rsidR="006C6122" w:rsidRDefault="006C6122" w:rsidP="009F68D6">
      <w:pPr>
        <w:spacing w:after="0" w:line="240" w:lineRule="auto"/>
        <w:jc w:val="center"/>
        <w:rPr>
          <w:i/>
        </w:rPr>
      </w:pPr>
    </w:p>
    <w:p w:rsidR="006C6122" w:rsidRDefault="006C6122" w:rsidP="009F68D6">
      <w:pPr>
        <w:spacing w:after="0" w:line="240" w:lineRule="auto"/>
        <w:jc w:val="center"/>
        <w:rPr>
          <w:i/>
        </w:rPr>
      </w:pPr>
    </w:p>
    <w:p w:rsidR="006C6122" w:rsidRPr="00116D67" w:rsidRDefault="006C6122" w:rsidP="009F68D6">
      <w:pPr>
        <w:spacing w:after="0" w:line="240" w:lineRule="auto"/>
        <w:jc w:val="center"/>
        <w:rPr>
          <w:b/>
          <w:i/>
        </w:rPr>
      </w:pPr>
      <w:r w:rsidRPr="00116D67">
        <w:rPr>
          <w:b/>
          <w:i/>
        </w:rPr>
        <w:t>Bilješke uz Izvještaj o prihodima i rashodima, primicima i izdacima</w:t>
      </w:r>
    </w:p>
    <w:p w:rsidR="00631CDA" w:rsidRDefault="006C6122" w:rsidP="009F68D6">
      <w:pPr>
        <w:spacing w:after="0" w:line="240" w:lineRule="auto"/>
        <w:jc w:val="center"/>
        <w:rPr>
          <w:b/>
          <w:i/>
        </w:rPr>
      </w:pPr>
      <w:r w:rsidRPr="00116D67">
        <w:rPr>
          <w:b/>
          <w:i/>
        </w:rPr>
        <w:t>(Obrazac PR-RAS)</w:t>
      </w:r>
    </w:p>
    <w:p w:rsidR="000B22AC" w:rsidRDefault="000B22AC" w:rsidP="009F68D6">
      <w:pPr>
        <w:spacing w:after="0" w:line="240" w:lineRule="auto"/>
        <w:jc w:val="center"/>
        <w:rPr>
          <w:b/>
          <w:i/>
        </w:rPr>
      </w:pPr>
    </w:p>
    <w:p w:rsidR="008B5FBC" w:rsidRDefault="004971D6" w:rsidP="002F3BDD">
      <w:pPr>
        <w:pStyle w:val="ListParagraph"/>
        <w:numPr>
          <w:ilvl w:val="0"/>
          <w:numId w:val="12"/>
        </w:numPr>
        <w:spacing w:after="0" w:line="240" w:lineRule="auto"/>
      </w:pPr>
      <w:r>
        <w:t>AOP</w:t>
      </w:r>
      <w:r>
        <w:tab/>
      </w:r>
      <w:r w:rsidR="002C1360">
        <w:t>052</w:t>
      </w:r>
      <w:r>
        <w:tab/>
      </w:r>
      <w:r w:rsidR="00334742">
        <w:t xml:space="preserve">Prihodi se odnose na </w:t>
      </w:r>
      <w:r w:rsidR="00EB7198">
        <w:t xml:space="preserve">znanstvene projekte u sklopu EU </w:t>
      </w:r>
      <w:r w:rsidR="008B5FBC">
        <w:t>projekata</w:t>
      </w:r>
      <w:r w:rsidR="00EB7198">
        <w:t xml:space="preserve"> Horizon</w:t>
      </w:r>
    </w:p>
    <w:p w:rsidR="008B5FBC" w:rsidRDefault="008B5FBC" w:rsidP="00E12EB5">
      <w:pPr>
        <w:pStyle w:val="ListParagraph"/>
        <w:spacing w:after="0" w:line="240" w:lineRule="auto"/>
        <w:ind w:left="510"/>
      </w:pPr>
      <w:r>
        <w:t xml:space="preserve">                                </w:t>
      </w:r>
      <w:r w:rsidR="00E12EB5">
        <w:t>(</w:t>
      </w:r>
      <w:r w:rsidR="00971664">
        <w:t>OSTEOPROSPINE</w:t>
      </w:r>
      <w:r w:rsidR="00E12EB5">
        <w:t>,</w:t>
      </w:r>
      <w:r>
        <w:t xml:space="preserve"> </w:t>
      </w:r>
      <w:r w:rsidR="00E12EB5">
        <w:t xml:space="preserve"> </w:t>
      </w:r>
      <w:r w:rsidR="00564215">
        <w:t>BIO-CHIP</w:t>
      </w:r>
      <w:r w:rsidR="00E12EB5">
        <w:t xml:space="preserve">, </w:t>
      </w:r>
      <w:r w:rsidR="00971664">
        <w:t>FAPIC</w:t>
      </w:r>
      <w:r w:rsidR="00E12EB5">
        <w:t xml:space="preserve">, </w:t>
      </w:r>
      <w:r w:rsidR="00971664">
        <w:t>ALIANCE</w:t>
      </w:r>
      <w:r w:rsidR="00E12EB5">
        <w:t>4</w:t>
      </w:r>
      <w:r w:rsidR="00E978C2">
        <w:t>LIFE</w:t>
      </w:r>
      <w:r w:rsidR="00E12EB5">
        <w:t>)</w:t>
      </w:r>
      <w:r w:rsidR="00EB7198">
        <w:t xml:space="preserve"> i dr. dobivenih ranijih godina</w:t>
      </w:r>
    </w:p>
    <w:p w:rsidR="004971D6" w:rsidRDefault="008B5FBC" w:rsidP="008B5FBC">
      <w:pPr>
        <w:pStyle w:val="ListParagraph"/>
        <w:spacing w:after="0" w:line="240" w:lineRule="auto"/>
        <w:ind w:left="510"/>
      </w:pPr>
      <w:r>
        <w:t xml:space="preserve">                              </w:t>
      </w:r>
      <w:r w:rsidR="00EB7198">
        <w:t xml:space="preserve">  i</w:t>
      </w:r>
      <w:r w:rsidR="00B94AA0">
        <w:t xml:space="preserve"> </w:t>
      </w:r>
      <w:r w:rsidR="00736664">
        <w:t xml:space="preserve">dobivenih </w:t>
      </w:r>
      <w:r w:rsidR="00B94AA0">
        <w:t>u</w:t>
      </w:r>
      <w:r>
        <w:t xml:space="preserve"> </w:t>
      </w:r>
      <w:r w:rsidR="00564215">
        <w:t xml:space="preserve"> </w:t>
      </w:r>
      <w:r w:rsidR="00E12EB5">
        <w:t>2018</w:t>
      </w:r>
      <w:r w:rsidR="00EB7198">
        <w:t>.</w:t>
      </w:r>
      <w:r w:rsidR="00B94AA0">
        <w:t>godini.</w:t>
      </w:r>
    </w:p>
    <w:p w:rsidR="00EE147C" w:rsidRDefault="00EE147C" w:rsidP="002F3BDD">
      <w:pPr>
        <w:spacing w:after="0" w:line="240" w:lineRule="auto"/>
        <w:ind w:left="1918" w:firstLine="206"/>
      </w:pPr>
    </w:p>
    <w:p w:rsidR="00E12EB5" w:rsidRDefault="00E12EB5" w:rsidP="002F3BDD">
      <w:pPr>
        <w:pStyle w:val="ListParagraph"/>
        <w:numPr>
          <w:ilvl w:val="0"/>
          <w:numId w:val="12"/>
        </w:numPr>
        <w:spacing w:after="0" w:line="240" w:lineRule="auto"/>
      </w:pPr>
      <w:r>
        <w:t xml:space="preserve">AOP           064       </w:t>
      </w:r>
      <w:r w:rsidR="009B29D8">
        <w:t>Dobili smo sredstva</w:t>
      </w:r>
      <w:r>
        <w:t xml:space="preserve"> za provedbu aktivnosti usmjerenih na razvoj sustava palijativne </w:t>
      </w:r>
    </w:p>
    <w:p w:rsidR="00971664" w:rsidRDefault="00E12EB5" w:rsidP="00971664">
      <w:pPr>
        <w:pStyle w:val="ListParagraph"/>
        <w:spacing w:after="0" w:line="240" w:lineRule="auto"/>
        <w:ind w:left="510"/>
      </w:pPr>
      <w:r>
        <w:t xml:space="preserve">                                skrbi u Gradu Z</w:t>
      </w:r>
      <w:r w:rsidR="00971664">
        <w:t>agreb</w:t>
      </w:r>
    </w:p>
    <w:p w:rsidR="00E12EB5" w:rsidRDefault="00E12EB5" w:rsidP="00971664">
      <w:pPr>
        <w:spacing w:after="0" w:line="240" w:lineRule="auto"/>
      </w:pPr>
    </w:p>
    <w:p w:rsidR="00E12EB5" w:rsidRDefault="00971664" w:rsidP="00971664">
      <w:pPr>
        <w:pStyle w:val="ListParagraph"/>
        <w:numPr>
          <w:ilvl w:val="0"/>
          <w:numId w:val="12"/>
        </w:numPr>
        <w:spacing w:after="0" w:line="240" w:lineRule="auto"/>
      </w:pPr>
      <w:r>
        <w:t xml:space="preserve">AOP   </w:t>
      </w:r>
      <w:r w:rsidR="00E12EB5">
        <w:t xml:space="preserve">        </w:t>
      </w:r>
      <w:r>
        <w:t>070</w:t>
      </w:r>
      <w:r w:rsidR="00E12EB5">
        <w:t xml:space="preserve">       </w:t>
      </w:r>
      <w:r w:rsidR="009B29D8">
        <w:t xml:space="preserve">MZO nam je proslijedio sredstva </w:t>
      </w:r>
      <w:r w:rsidR="00E12EB5">
        <w:t>za bilateralne projekte</w:t>
      </w:r>
      <w:r>
        <w:t xml:space="preserve"> – DAAD</w:t>
      </w:r>
    </w:p>
    <w:p w:rsidR="00971664" w:rsidRDefault="00971664" w:rsidP="00971664">
      <w:pPr>
        <w:spacing w:after="0" w:line="240" w:lineRule="auto"/>
        <w:ind w:left="150"/>
      </w:pPr>
    </w:p>
    <w:p w:rsidR="00EE147C" w:rsidRDefault="00B83DEB" w:rsidP="003A3F91">
      <w:pPr>
        <w:pStyle w:val="ListParagraph"/>
        <w:numPr>
          <w:ilvl w:val="0"/>
          <w:numId w:val="12"/>
        </w:numPr>
        <w:spacing w:after="0" w:line="240" w:lineRule="auto"/>
        <w:ind w:left="502"/>
      </w:pPr>
      <w:r>
        <w:t>AOP</w:t>
      </w:r>
      <w:r>
        <w:tab/>
      </w:r>
      <w:r w:rsidR="00971664">
        <w:t>072</w:t>
      </w:r>
      <w:r w:rsidR="00863739">
        <w:tab/>
      </w:r>
      <w:r w:rsidR="00971664">
        <w:t>Većina sredstava se odnosi na ERASMUS PLUS</w:t>
      </w:r>
    </w:p>
    <w:p w:rsidR="00971664" w:rsidRDefault="00971664" w:rsidP="00971664">
      <w:pPr>
        <w:pStyle w:val="ListParagraph"/>
        <w:spacing w:after="0" w:line="240" w:lineRule="auto"/>
        <w:ind w:left="502"/>
      </w:pPr>
    </w:p>
    <w:p w:rsidR="00FB7758" w:rsidRDefault="00E35677" w:rsidP="00971664">
      <w:pPr>
        <w:pStyle w:val="ListParagraph"/>
        <w:numPr>
          <w:ilvl w:val="0"/>
          <w:numId w:val="12"/>
        </w:numPr>
        <w:spacing w:after="0" w:line="240" w:lineRule="auto"/>
      </w:pPr>
      <w:r>
        <w:t>AOP</w:t>
      </w:r>
      <w:r>
        <w:tab/>
      </w:r>
      <w:r w:rsidR="00971664">
        <w:t>155</w:t>
      </w:r>
      <w:r>
        <w:tab/>
      </w:r>
      <w:r w:rsidR="00FB7758">
        <w:t xml:space="preserve">Do povećanja troškova zaposlenicima došlo je zbog isplate neoporezive nagrade za   </w:t>
      </w:r>
    </w:p>
    <w:p w:rsidR="002A06A2" w:rsidRDefault="00FB7758" w:rsidP="00FB7758">
      <w:pPr>
        <w:spacing w:after="0" w:line="240" w:lineRule="auto"/>
      </w:pPr>
      <w:r>
        <w:t xml:space="preserve">                                           radne rezultate</w:t>
      </w:r>
      <w:r w:rsidR="00971664">
        <w:t xml:space="preserve"> </w:t>
      </w:r>
    </w:p>
    <w:p w:rsidR="00956D66" w:rsidRDefault="00956D66" w:rsidP="002F3BDD">
      <w:pPr>
        <w:pStyle w:val="ListParagraph"/>
        <w:spacing w:after="0" w:line="240" w:lineRule="auto"/>
        <w:ind w:left="510"/>
      </w:pPr>
    </w:p>
    <w:p w:rsidR="00FB7758" w:rsidRDefault="00FB7758" w:rsidP="002F3BDD">
      <w:pPr>
        <w:pStyle w:val="ListParagraph"/>
        <w:numPr>
          <w:ilvl w:val="0"/>
          <w:numId w:val="12"/>
        </w:numPr>
        <w:spacing w:after="0" w:line="240" w:lineRule="auto"/>
      </w:pPr>
      <w:r>
        <w:t>AOP</w:t>
      </w:r>
      <w:r>
        <w:tab/>
        <w:t>162</w:t>
      </w:r>
      <w:r w:rsidR="00957E0D">
        <w:tab/>
      </w:r>
      <w:r>
        <w:t xml:space="preserve">Zbog povećane aktivnosti na Europskim projektima došlo je do povećanja rashoda za </w:t>
      </w:r>
    </w:p>
    <w:p w:rsidR="00957E0D" w:rsidRDefault="00FB7758" w:rsidP="00FB7758">
      <w:pPr>
        <w:pStyle w:val="ListParagraph"/>
        <w:spacing w:after="0" w:line="240" w:lineRule="auto"/>
        <w:ind w:left="510"/>
      </w:pPr>
      <w:r>
        <w:t xml:space="preserve">                                 službena putovanja</w:t>
      </w:r>
    </w:p>
    <w:p w:rsidR="00956D66" w:rsidRDefault="00956D66" w:rsidP="002F3BDD">
      <w:pPr>
        <w:spacing w:after="0" w:line="240" w:lineRule="auto"/>
      </w:pPr>
    </w:p>
    <w:p w:rsidR="002B3E4B" w:rsidRDefault="00435D93" w:rsidP="00476656">
      <w:pPr>
        <w:pStyle w:val="ListParagraph"/>
        <w:numPr>
          <w:ilvl w:val="0"/>
          <w:numId w:val="12"/>
        </w:numPr>
        <w:spacing w:after="0" w:line="240" w:lineRule="auto"/>
      </w:pPr>
      <w:r>
        <w:t>AOP</w:t>
      </w:r>
      <w:r>
        <w:tab/>
        <w:t>17</w:t>
      </w:r>
      <w:r w:rsidR="00FB7758">
        <w:t>0</w:t>
      </w:r>
      <w:r w:rsidR="00B94AA0">
        <w:tab/>
      </w:r>
      <w:r w:rsidR="00FB7758">
        <w:t>Došlo je povećanog servisiranje znanstvene opreme</w:t>
      </w:r>
      <w:r w:rsidR="002B3E4B">
        <w:t xml:space="preserve"> zbog povećane aktivnosti </w:t>
      </w:r>
    </w:p>
    <w:p w:rsidR="008E79BF" w:rsidRDefault="002B3E4B" w:rsidP="002B3E4B">
      <w:pPr>
        <w:pStyle w:val="ListParagraph"/>
        <w:spacing w:after="0" w:line="240" w:lineRule="auto"/>
        <w:ind w:left="510"/>
      </w:pPr>
      <w:r>
        <w:t xml:space="preserve">                                znanstvenih projekata koji se služe navedenom opremom</w:t>
      </w:r>
      <w:r w:rsidR="00957E0D">
        <w:t xml:space="preserve"> </w:t>
      </w:r>
    </w:p>
    <w:p w:rsidR="00FA4A98" w:rsidRDefault="00FA4A98" w:rsidP="002F3BDD">
      <w:pPr>
        <w:pStyle w:val="ListParagraph"/>
        <w:spacing w:after="0" w:line="240" w:lineRule="auto"/>
        <w:ind w:left="510"/>
      </w:pPr>
    </w:p>
    <w:p w:rsidR="002B3E4B" w:rsidRDefault="00FA4A98" w:rsidP="00D12875">
      <w:pPr>
        <w:pStyle w:val="ListParagraph"/>
        <w:numPr>
          <w:ilvl w:val="0"/>
          <w:numId w:val="12"/>
        </w:numPr>
        <w:spacing w:after="0" w:line="240" w:lineRule="auto"/>
      </w:pPr>
      <w:r>
        <w:t xml:space="preserve">AOP </w:t>
      </w:r>
      <w:r>
        <w:tab/>
        <w:t>1</w:t>
      </w:r>
      <w:r w:rsidR="002B3E4B">
        <w:t>77</w:t>
      </w:r>
      <w:r>
        <w:tab/>
      </w:r>
      <w:r w:rsidR="002B3E4B">
        <w:t>U proračunu međunarodnih projekata predviđen je dio za promidžbu projekata</w:t>
      </w:r>
      <w:r w:rsidR="009B29D8">
        <w:t>,</w:t>
      </w:r>
      <w:r w:rsidR="002B3E4B">
        <w:t xml:space="preserve"> </w:t>
      </w:r>
    </w:p>
    <w:p w:rsidR="00FA4A98" w:rsidRDefault="002B3E4B" w:rsidP="002B3E4B">
      <w:pPr>
        <w:pStyle w:val="ListParagraph"/>
        <w:spacing w:after="0" w:line="240" w:lineRule="auto"/>
        <w:ind w:left="510"/>
      </w:pPr>
      <w:r>
        <w:t xml:space="preserve">                                sukladno tome povećali su se troškovi promidžbe putem interneta, letaka, prezentacija</w:t>
      </w:r>
    </w:p>
    <w:p w:rsidR="00671D8E" w:rsidRDefault="00671D8E" w:rsidP="002F3BDD">
      <w:pPr>
        <w:pStyle w:val="ListParagraph"/>
        <w:spacing w:after="0" w:line="240" w:lineRule="auto"/>
        <w:ind w:left="510"/>
      </w:pPr>
    </w:p>
    <w:p w:rsidR="00671D8E" w:rsidRDefault="00671D8E" w:rsidP="002F3BDD">
      <w:pPr>
        <w:pStyle w:val="ListParagraph"/>
        <w:numPr>
          <w:ilvl w:val="0"/>
          <w:numId w:val="12"/>
        </w:numPr>
        <w:spacing w:after="0" w:line="240" w:lineRule="auto"/>
      </w:pPr>
      <w:r>
        <w:t>AOP</w:t>
      </w:r>
      <w:r>
        <w:tab/>
        <w:t>1</w:t>
      </w:r>
      <w:r w:rsidR="00B440AB">
        <w:t>81</w:t>
      </w:r>
      <w:r>
        <w:tab/>
      </w:r>
      <w:r w:rsidR="003957E8">
        <w:t>Troškovi se odnose na vanjske suradnike znanstvenih projekata u sklopu EU</w:t>
      </w:r>
    </w:p>
    <w:p w:rsidR="00006F34" w:rsidRDefault="00006F34" w:rsidP="002F3BDD">
      <w:pPr>
        <w:pStyle w:val="ListParagraph"/>
        <w:spacing w:after="0" w:line="240" w:lineRule="auto"/>
      </w:pPr>
    </w:p>
    <w:p w:rsidR="00B440AB" w:rsidRDefault="00B440AB" w:rsidP="00B440AB">
      <w:pPr>
        <w:pStyle w:val="ListParagraph"/>
        <w:numPr>
          <w:ilvl w:val="0"/>
          <w:numId w:val="12"/>
        </w:numPr>
        <w:spacing w:after="0" w:line="240" w:lineRule="auto"/>
      </w:pPr>
      <w:r>
        <w:t>AOP</w:t>
      </w:r>
      <w:r>
        <w:tab/>
        <w:t>220</w:t>
      </w:r>
      <w:r w:rsidR="00006F34">
        <w:tab/>
      </w:r>
      <w:r>
        <w:t>Transferirali smo novčana sredstva iz EU znanstvenih projekata  suradnim</w:t>
      </w:r>
    </w:p>
    <w:p w:rsidR="00B440AB" w:rsidRDefault="00B440AB" w:rsidP="00B440AB">
      <w:pPr>
        <w:spacing w:after="0" w:line="240" w:lineRule="auto"/>
      </w:pPr>
      <w:r>
        <w:t xml:space="preserve">                                           institucijama.  Eu projekt Horizon po proračunu ima ugovorene partnere</w:t>
      </w:r>
      <w:r w:rsidR="008B5FBC">
        <w:t xml:space="preserve"> </w:t>
      </w:r>
      <w:r w:rsidR="009B29D8">
        <w:t>-</w:t>
      </w:r>
      <w:r>
        <w:t xml:space="preserve"> </w:t>
      </w:r>
    </w:p>
    <w:p w:rsidR="00B440AB" w:rsidRDefault="00B440AB" w:rsidP="00B440AB">
      <w:pPr>
        <w:spacing w:after="0" w:line="240" w:lineRule="auto"/>
      </w:pPr>
      <w:r>
        <w:t xml:space="preserve">                                           trgovačka društva. </w:t>
      </w:r>
    </w:p>
    <w:p w:rsidR="005D69C7" w:rsidRDefault="005D69C7" w:rsidP="002F3BDD">
      <w:pPr>
        <w:pStyle w:val="ListParagraph"/>
        <w:spacing w:after="0" w:line="240" w:lineRule="auto"/>
      </w:pPr>
    </w:p>
    <w:p w:rsidR="005D69C7" w:rsidRDefault="00B440AB" w:rsidP="002F3BDD">
      <w:pPr>
        <w:pStyle w:val="ListParagraph"/>
        <w:numPr>
          <w:ilvl w:val="0"/>
          <w:numId w:val="12"/>
        </w:numPr>
        <w:spacing w:after="0" w:line="240" w:lineRule="auto"/>
      </w:pPr>
      <w:r>
        <w:t>A</w:t>
      </w:r>
      <w:r w:rsidR="00816E16">
        <w:t>OP</w:t>
      </w:r>
      <w:r w:rsidR="00816E16">
        <w:tab/>
        <w:t>223</w:t>
      </w:r>
      <w:r w:rsidR="005D69C7">
        <w:tab/>
        <w:t xml:space="preserve">Transferirali smo novčana sredstva iz EU znanstvenih projekata  suradnim institucijama </w:t>
      </w:r>
    </w:p>
    <w:p w:rsidR="005D69C7" w:rsidRDefault="00816E16" w:rsidP="002F3BDD">
      <w:pPr>
        <w:pStyle w:val="ListParagraph"/>
        <w:spacing w:after="0" w:line="240" w:lineRule="auto"/>
        <w:ind w:left="1926" w:firstLine="198"/>
      </w:pPr>
      <w:r>
        <w:t>(</w:t>
      </w:r>
      <w:r w:rsidR="005D69C7">
        <w:t>Medicinskom univers.</w:t>
      </w:r>
      <w:r w:rsidR="009B29D8">
        <w:t xml:space="preserve">  u</w:t>
      </w:r>
      <w:r>
        <w:t xml:space="preserve"> Wien</w:t>
      </w:r>
      <w:r w:rsidR="009B29D8">
        <w:t>, Graz,..</w:t>
      </w:r>
      <w:r>
        <w:t>)</w:t>
      </w:r>
    </w:p>
    <w:p w:rsidR="005D69C7" w:rsidRDefault="005D69C7" w:rsidP="002F3BDD">
      <w:pPr>
        <w:spacing w:after="0" w:line="240" w:lineRule="auto"/>
        <w:ind w:left="150"/>
      </w:pPr>
    </w:p>
    <w:p w:rsidR="00816E16" w:rsidRDefault="005D69C7" w:rsidP="00816E16">
      <w:pPr>
        <w:pStyle w:val="ListParagraph"/>
        <w:numPr>
          <w:ilvl w:val="0"/>
          <w:numId w:val="12"/>
        </w:numPr>
        <w:spacing w:after="0" w:line="240" w:lineRule="auto"/>
      </w:pPr>
      <w:r>
        <w:t>AOP</w:t>
      </w:r>
      <w:r>
        <w:tab/>
        <w:t>2</w:t>
      </w:r>
      <w:r w:rsidR="00816E16">
        <w:t>54</w:t>
      </w:r>
      <w:r w:rsidRPr="005D69C7">
        <w:t xml:space="preserve"> </w:t>
      </w:r>
      <w:r w:rsidR="008E79BF">
        <w:tab/>
      </w:r>
      <w:r w:rsidR="00816E16">
        <w:t>Povećali su se troškovi školarina i stipendija zaposlenicima fakulteta za potrebe</w:t>
      </w:r>
    </w:p>
    <w:p w:rsidR="00006F34" w:rsidRDefault="00816E16" w:rsidP="009B29D8">
      <w:pPr>
        <w:pStyle w:val="ListParagraph"/>
        <w:spacing w:after="0" w:line="240" w:lineRule="auto"/>
        <w:ind w:left="510"/>
      </w:pPr>
      <w:r>
        <w:lastRenderedPageBreak/>
        <w:t xml:space="preserve">                                educiranja na znanstvenim projektima</w:t>
      </w:r>
    </w:p>
    <w:p w:rsidR="00FE1E7A" w:rsidRDefault="00FE1E7A" w:rsidP="00006F34">
      <w:pPr>
        <w:pStyle w:val="ListParagraph"/>
        <w:ind w:left="2124"/>
      </w:pPr>
    </w:p>
    <w:p w:rsidR="00816E16" w:rsidRDefault="001464D2" w:rsidP="00816E16">
      <w:pPr>
        <w:pStyle w:val="ListParagraph"/>
        <w:numPr>
          <w:ilvl w:val="0"/>
          <w:numId w:val="12"/>
        </w:numPr>
        <w:spacing w:after="0" w:line="240" w:lineRule="auto"/>
      </w:pPr>
      <w:r>
        <w:t>AOP</w:t>
      </w:r>
      <w:r>
        <w:tab/>
      </w:r>
      <w:r w:rsidR="00816E16">
        <w:t>361</w:t>
      </w:r>
      <w:r w:rsidR="00546766">
        <w:tab/>
      </w:r>
      <w:r w:rsidR="00816E16">
        <w:t xml:space="preserve">Do </w:t>
      </w:r>
      <w:r w:rsidR="008864AB">
        <w:t>povećanja rashoda</w:t>
      </w:r>
      <w:r w:rsidR="00816E16">
        <w:t xml:space="preserve"> došlo je zbog rekonstrukcije dvorana, laboratorija i </w:t>
      </w:r>
    </w:p>
    <w:p w:rsidR="00EF699B" w:rsidRDefault="00816E16" w:rsidP="00816E16">
      <w:pPr>
        <w:pStyle w:val="ListParagraph"/>
        <w:spacing w:after="0" w:line="240" w:lineRule="auto"/>
        <w:ind w:left="510"/>
      </w:pPr>
      <w:r>
        <w:t xml:space="preserve">                                 </w:t>
      </w:r>
      <w:r w:rsidR="008864AB">
        <w:t>obnavljanja</w:t>
      </w:r>
      <w:r>
        <w:t xml:space="preserve"> novog namještaja</w:t>
      </w:r>
    </w:p>
    <w:p w:rsidR="00816E16" w:rsidRDefault="00816E16" w:rsidP="00816E16">
      <w:pPr>
        <w:pStyle w:val="ListParagraph"/>
        <w:spacing w:after="0" w:line="240" w:lineRule="auto"/>
        <w:ind w:left="510"/>
      </w:pPr>
    </w:p>
    <w:p w:rsidR="00DA16AB" w:rsidRDefault="00DA16AB" w:rsidP="00816E16">
      <w:pPr>
        <w:pStyle w:val="ListParagraph"/>
        <w:numPr>
          <w:ilvl w:val="0"/>
          <w:numId w:val="12"/>
        </w:numPr>
        <w:spacing w:after="0" w:line="240" w:lineRule="auto"/>
      </w:pPr>
      <w:r>
        <w:t xml:space="preserve">AOP </w:t>
      </w:r>
      <w:r>
        <w:tab/>
      </w:r>
      <w:r w:rsidR="00816E16">
        <w:t>363</w:t>
      </w:r>
      <w:r w:rsidR="00021AA1">
        <w:tab/>
      </w:r>
      <w:r w:rsidR="00564215">
        <w:t>Radi dodatne sigurno</w:t>
      </w:r>
      <w:r w:rsidR="008864AB">
        <w:t>sti na objektima fakulteta inve</w:t>
      </w:r>
      <w:r w:rsidR="00564215">
        <w:t>stirano je u video nadzor</w:t>
      </w:r>
    </w:p>
    <w:p w:rsidR="00FE1E7A" w:rsidRDefault="00FE1E7A" w:rsidP="002F3BDD">
      <w:pPr>
        <w:pStyle w:val="ListParagraph"/>
        <w:spacing w:after="0" w:line="240" w:lineRule="auto"/>
        <w:ind w:left="510"/>
      </w:pPr>
    </w:p>
    <w:p w:rsidR="00564215" w:rsidRDefault="00564215" w:rsidP="00564215">
      <w:pPr>
        <w:pStyle w:val="ListParagraph"/>
        <w:numPr>
          <w:ilvl w:val="0"/>
          <w:numId w:val="12"/>
        </w:numPr>
        <w:spacing w:after="0" w:line="240" w:lineRule="auto"/>
      </w:pPr>
      <w:r>
        <w:t>AOP</w:t>
      </w:r>
      <w:r>
        <w:tab/>
        <w:t>364</w:t>
      </w:r>
      <w:r w:rsidR="005D69C7">
        <w:tab/>
      </w:r>
      <w:r>
        <w:t>Zbog novoformiran</w:t>
      </w:r>
      <w:r w:rsidR="008864AB">
        <w:t>ih znanstvenih C</w:t>
      </w:r>
      <w:r>
        <w:t>entar</w:t>
      </w:r>
      <w:r w:rsidR="008864AB">
        <w:t xml:space="preserve">a </w:t>
      </w:r>
      <w:r>
        <w:t xml:space="preserve"> izvrsnosti </w:t>
      </w:r>
      <w:r w:rsidR="008864AB">
        <w:t xml:space="preserve">, </w:t>
      </w:r>
      <w:r>
        <w:t xml:space="preserve">došlo je do povećanog </w:t>
      </w:r>
    </w:p>
    <w:p w:rsidR="005D69C7" w:rsidRDefault="00564215" w:rsidP="00564215">
      <w:pPr>
        <w:spacing w:after="0" w:line="240" w:lineRule="auto"/>
      </w:pPr>
      <w:r>
        <w:t xml:space="preserve">                                           ulaganja u znanstvenu opremu </w:t>
      </w:r>
      <w:r w:rsidR="008864AB">
        <w:t xml:space="preserve">/Sustav za računalnu potpomognutu analizu </w:t>
      </w:r>
    </w:p>
    <w:p w:rsidR="008864AB" w:rsidRDefault="008864AB" w:rsidP="00564215">
      <w:pPr>
        <w:spacing w:after="0" w:line="240" w:lineRule="auto"/>
      </w:pPr>
      <w:r>
        <w:tab/>
      </w:r>
      <w:r>
        <w:tab/>
      </w:r>
      <w:r>
        <w:tab/>
        <w:t xml:space="preserve">spermija, Istraž.sustav za apsolutnu kvantif.bioloških molekula, Uređaj za </w:t>
      </w:r>
    </w:p>
    <w:p w:rsidR="008864AB" w:rsidRDefault="008864AB" w:rsidP="00564215">
      <w:pPr>
        <w:spacing w:after="0" w:line="240" w:lineRule="auto"/>
      </w:pPr>
      <w:r>
        <w:tab/>
      </w:r>
      <w:r>
        <w:tab/>
      </w:r>
      <w:r>
        <w:tab/>
        <w:t>sekvenciranje, i dr.</w:t>
      </w:r>
    </w:p>
    <w:p w:rsidR="003F21FF" w:rsidRDefault="00D819FD" w:rsidP="00246439">
      <w:pPr>
        <w:spacing w:after="0" w:line="240" w:lineRule="auto"/>
      </w:pPr>
      <w:r>
        <w:tab/>
      </w:r>
      <w:r w:rsidR="00E762F0">
        <w:tab/>
      </w:r>
      <w:r w:rsidR="00E762F0">
        <w:tab/>
      </w:r>
      <w:r w:rsidR="00E762F0">
        <w:tab/>
      </w:r>
      <w:r w:rsidR="00E762F0">
        <w:tab/>
      </w:r>
    </w:p>
    <w:p w:rsidR="00686143" w:rsidRDefault="00686143" w:rsidP="002F3BDD">
      <w:pPr>
        <w:spacing w:after="0" w:line="240" w:lineRule="auto"/>
      </w:pPr>
    </w:p>
    <w:p w:rsidR="00686143" w:rsidRDefault="00686143" w:rsidP="002F3BDD">
      <w:pPr>
        <w:spacing w:after="0" w:line="240" w:lineRule="auto"/>
        <w:rPr>
          <w:b/>
          <w:i/>
        </w:rPr>
      </w:pPr>
      <w:r>
        <w:tab/>
      </w:r>
      <w:r>
        <w:tab/>
      </w:r>
      <w:r w:rsidR="00DC5A5F">
        <w:t xml:space="preserve">              </w:t>
      </w:r>
      <w:r>
        <w:rPr>
          <w:b/>
          <w:i/>
        </w:rPr>
        <w:t>Bilješke uz Obrazac BIL</w:t>
      </w:r>
    </w:p>
    <w:p w:rsidR="00DF3050" w:rsidRDefault="00DF3050" w:rsidP="002F3BDD">
      <w:pPr>
        <w:pStyle w:val="ListParagraph"/>
        <w:spacing w:after="0" w:line="240" w:lineRule="auto"/>
        <w:ind w:left="1720" w:firstLine="404"/>
      </w:pPr>
    </w:p>
    <w:p w:rsidR="00FE762B" w:rsidRDefault="00FE762B" w:rsidP="002F3BDD">
      <w:pPr>
        <w:spacing w:after="0" w:line="240" w:lineRule="auto"/>
      </w:pPr>
    </w:p>
    <w:p w:rsidR="00DF3050" w:rsidRDefault="002F3BDD" w:rsidP="002F3BDD">
      <w:pPr>
        <w:pStyle w:val="ListParagraph"/>
        <w:numPr>
          <w:ilvl w:val="0"/>
          <w:numId w:val="15"/>
        </w:numPr>
        <w:spacing w:after="0" w:line="240" w:lineRule="auto"/>
      </w:pPr>
      <w:r>
        <w:t xml:space="preserve">    </w:t>
      </w:r>
      <w:r w:rsidR="00DF3050">
        <w:t>AOP</w:t>
      </w:r>
      <w:r w:rsidR="00DF3050">
        <w:tab/>
      </w:r>
      <w:r w:rsidR="00C0568A">
        <w:t>169</w:t>
      </w:r>
      <w:r w:rsidR="00DF3050">
        <w:tab/>
      </w:r>
      <w:r w:rsidR="00C0568A">
        <w:t>Prema Pravilniku o proračunskom računovodstvu s početka 2018. i</w:t>
      </w:r>
      <w:r w:rsidR="00246439">
        <w:t>spravili smo</w:t>
      </w:r>
    </w:p>
    <w:p w:rsidR="00DF3050" w:rsidRDefault="00C0568A" w:rsidP="002F3BDD">
      <w:pPr>
        <w:pStyle w:val="ListParagraph"/>
        <w:spacing w:after="0" w:line="240" w:lineRule="auto"/>
        <w:ind w:left="1926" w:firstLine="198"/>
      </w:pPr>
      <w:r>
        <w:t>vrijednost potraživanja,  s obzirom da se s naplatom potraživanja kasni</w:t>
      </w:r>
    </w:p>
    <w:p w:rsidR="00DF70FA" w:rsidRDefault="00DF70FA" w:rsidP="002F3BDD">
      <w:pPr>
        <w:pStyle w:val="ListParagraph"/>
        <w:spacing w:after="0" w:line="240" w:lineRule="auto"/>
        <w:ind w:left="1926" w:firstLine="198"/>
      </w:pPr>
      <w:r>
        <w:t>usprkos poduzetih zakonskih radnji</w:t>
      </w:r>
    </w:p>
    <w:p w:rsidR="00DF70FA" w:rsidRDefault="00DF70FA" w:rsidP="002F3BDD">
      <w:pPr>
        <w:pStyle w:val="ListParagraph"/>
        <w:spacing w:after="0" w:line="240" w:lineRule="auto"/>
        <w:ind w:left="1926" w:firstLine="198"/>
      </w:pPr>
    </w:p>
    <w:p w:rsidR="00DF70FA" w:rsidRDefault="00DF70FA" w:rsidP="00DF70FA">
      <w:pPr>
        <w:pStyle w:val="ListParagraph"/>
        <w:numPr>
          <w:ilvl w:val="0"/>
          <w:numId w:val="15"/>
        </w:numPr>
        <w:spacing w:after="0" w:line="240" w:lineRule="auto"/>
      </w:pPr>
      <w:r>
        <w:t xml:space="preserve">   AOP</w:t>
      </w:r>
      <w:r>
        <w:tab/>
        <w:t>244</w:t>
      </w:r>
      <w:r>
        <w:tab/>
        <w:t xml:space="preserve">Podatak se odnosi na potencijalne obveze po osnovi sudskih sporova koji su </w:t>
      </w:r>
    </w:p>
    <w:p w:rsidR="002F3BDD" w:rsidRDefault="00DF70FA" w:rsidP="00612D75">
      <w:pPr>
        <w:pStyle w:val="ListParagraph"/>
        <w:spacing w:after="0" w:line="240" w:lineRule="auto"/>
        <w:ind w:left="2124"/>
      </w:pPr>
      <w:r>
        <w:t>u tijeku , kao i na potencijalne obveze s osnova instrumenata osiguranja plaćanja</w:t>
      </w:r>
    </w:p>
    <w:p w:rsidR="00E2164C" w:rsidRDefault="00E2164C" w:rsidP="00612D75">
      <w:pPr>
        <w:pStyle w:val="ListParagraph"/>
        <w:spacing w:after="0" w:line="240" w:lineRule="auto"/>
        <w:ind w:left="2124"/>
      </w:pPr>
    </w:p>
    <w:p w:rsidR="00E2164C" w:rsidRDefault="00E2164C" w:rsidP="00612D75">
      <w:pPr>
        <w:pStyle w:val="ListParagraph"/>
        <w:spacing w:after="0" w:line="240" w:lineRule="auto"/>
        <w:ind w:left="2124"/>
      </w:pPr>
    </w:p>
    <w:p w:rsidR="00E2164C" w:rsidRPr="00E2164C" w:rsidRDefault="00E2164C" w:rsidP="00E2164C">
      <w:pPr>
        <w:pStyle w:val="ListParagraph"/>
        <w:spacing w:after="0" w:line="240" w:lineRule="auto"/>
        <w:ind w:left="690"/>
        <w:rPr>
          <w:i/>
        </w:rPr>
      </w:pPr>
      <w:r w:rsidRPr="00E2164C">
        <w:rPr>
          <w:i/>
        </w:rPr>
        <w:t xml:space="preserve">                             Bilješke o potencijalnim obvezama po osnovi sudskih sporova</w:t>
      </w:r>
    </w:p>
    <w:p w:rsidR="002F3BDD" w:rsidRDefault="002F3BDD" w:rsidP="001554D8">
      <w:pPr>
        <w:spacing w:after="0" w:line="240" w:lineRule="auto"/>
      </w:pPr>
    </w:p>
    <w:tbl>
      <w:tblPr>
        <w:tblStyle w:val="TableGrid"/>
        <w:tblW w:w="9923" w:type="dxa"/>
        <w:tblInd w:w="-176" w:type="dxa"/>
        <w:tblLayout w:type="fixed"/>
        <w:tblLook w:val="04A0" w:firstRow="1" w:lastRow="0" w:firstColumn="1" w:lastColumn="0" w:noHBand="0" w:noVBand="1"/>
      </w:tblPr>
      <w:tblGrid>
        <w:gridCol w:w="710"/>
        <w:gridCol w:w="850"/>
        <w:gridCol w:w="992"/>
        <w:gridCol w:w="1702"/>
        <w:gridCol w:w="1417"/>
        <w:gridCol w:w="4252"/>
      </w:tblGrid>
      <w:tr w:rsidR="00E2164C" w:rsidRPr="008B5FBC" w:rsidTr="00CC4D66">
        <w:tc>
          <w:tcPr>
            <w:tcW w:w="9923" w:type="dxa"/>
            <w:gridSpan w:val="6"/>
          </w:tcPr>
          <w:p w:rsidR="00E2164C" w:rsidRPr="008B5FBC" w:rsidRDefault="00E2164C" w:rsidP="00CC4D66">
            <w:pPr>
              <w:jc w:val="center"/>
              <w:rPr>
                <w:rFonts w:asciiTheme="minorHAnsi" w:hAnsiTheme="minorHAnsi"/>
              </w:rPr>
            </w:pPr>
            <w:r w:rsidRPr="008B5FBC">
              <w:rPr>
                <w:rFonts w:asciiTheme="minorHAnsi" w:hAnsiTheme="minorHAnsi"/>
              </w:rPr>
              <w:t>SVEUČILIŠTE U ZAGREBU, MEDICINSKI FAKULTET</w:t>
            </w:r>
          </w:p>
          <w:p w:rsidR="00E2164C" w:rsidRPr="008B5FBC" w:rsidRDefault="00E2164C" w:rsidP="00CC4D66">
            <w:pPr>
              <w:jc w:val="center"/>
              <w:rPr>
                <w:rFonts w:asciiTheme="minorHAnsi" w:hAnsiTheme="minorHAnsi"/>
              </w:rPr>
            </w:pPr>
            <w:r w:rsidRPr="008B5FBC">
              <w:rPr>
                <w:rFonts w:asciiTheme="minorHAnsi" w:hAnsiTheme="minorHAnsi"/>
              </w:rPr>
              <w:t>Izvještaj o stanju predmeta na dan 31.12.2018.g.</w:t>
            </w:r>
          </w:p>
        </w:tc>
      </w:tr>
      <w:tr w:rsidR="00E2164C" w:rsidRPr="008B5FBC" w:rsidTr="00CC4D66">
        <w:tc>
          <w:tcPr>
            <w:tcW w:w="710" w:type="dxa"/>
          </w:tcPr>
          <w:p w:rsidR="00E2164C" w:rsidRPr="008B5FBC" w:rsidRDefault="00E2164C" w:rsidP="00CC4D66">
            <w:pPr>
              <w:rPr>
                <w:rFonts w:asciiTheme="minorHAnsi" w:hAnsiTheme="minorHAnsi" w:cs="Arial"/>
              </w:rPr>
            </w:pPr>
            <w:r w:rsidRPr="008B5FBC">
              <w:rPr>
                <w:rFonts w:asciiTheme="minorHAnsi" w:hAnsiTheme="minorHAnsi" w:cs="Arial"/>
              </w:rPr>
              <w:t>Br.</w:t>
            </w:r>
          </w:p>
          <w:p w:rsidR="00E2164C" w:rsidRPr="008B5FBC" w:rsidRDefault="00E2164C" w:rsidP="00CC4D66">
            <w:pPr>
              <w:rPr>
                <w:rFonts w:asciiTheme="minorHAnsi" w:hAnsiTheme="minorHAnsi"/>
              </w:rPr>
            </w:pP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Sudski br. predm.</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Sud</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Tuženik/ovršenik/ okrivljenik</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VPS/KAZNA</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Stanje predmeta</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1.</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Pr-3031/05</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385.000,00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Presudom Općinskog radnog suda u Zagrebu od 16.11.2017.g. u cijelosti je odbijen tužbeni zahtjev tužitelja i naloženo je tužitelju plaćanje tuženiku parničnog troška u iznosu od 46.875,00 kn Žalba tužitelja 24.11.2017.g. Rješenjem Županijskog suda u Zagrebu od 10.07.2018.g. ukinuta je prvostupanjska presuda i predmet vraćen prvostupanjskom sudu na ponovno odlučivanje. Ročište je održano 10.12.2018.g., a sljedeće nije zakazano.</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2.</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Pr-4583/12 Pr-9062/14 Pr-2619/16</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862.724,57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Predmet spora je isplata naknade plaće za vrijeme dok tužitelj nije radio kod tuženika zbog nezakonitog otkaza ugovora o radu. Presudom Općinskog radnog suda u Zagrebu od 21.07.2017. g. u cijelosti je usvojen tužbeni zahtjev tužitelja, te je naloženo tuženiku da tužitelju isplati iznos od 862.724,57 kn s pripadajućim kamatama i trošak parničnog postupka u iznosu od 128.312,50 kn. 21.07.2017. g. žalba tuženika Spis se nalazi na Županijskom sudu, na rješavanju po žalbi tuženika. Ishod ovog spora je neizvjestan.</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3.</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Pn-</w:t>
            </w:r>
            <w:r w:rsidRPr="008B5FBC">
              <w:rPr>
                <w:rFonts w:asciiTheme="minorHAnsi" w:hAnsiTheme="minorHAnsi" w:cs="Arial"/>
              </w:rPr>
              <w:lastRenderedPageBreak/>
              <w:t>8513/08 Pr-9859/14</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 xml:space="preserve">Općinski </w:t>
            </w:r>
            <w:r w:rsidRPr="008B5FBC">
              <w:rPr>
                <w:rFonts w:asciiTheme="minorHAnsi" w:hAnsiTheme="minorHAnsi" w:cs="Arial"/>
              </w:rPr>
              <w:lastRenderedPageBreak/>
              <w:t>građanski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 xml:space="preserve">Medicinski </w:t>
            </w:r>
            <w:r w:rsidRPr="008B5FBC">
              <w:rPr>
                <w:rFonts w:asciiTheme="minorHAnsi" w:hAnsiTheme="minorHAnsi" w:cs="Arial"/>
              </w:rPr>
              <w:lastRenderedPageBreak/>
              <w:t>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100.000,00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 xml:space="preserve">Presudom Općinskog radnog suda u Zagrebu od </w:t>
            </w:r>
            <w:r w:rsidRPr="008B5FBC">
              <w:rPr>
                <w:rFonts w:asciiTheme="minorHAnsi" w:hAnsiTheme="minorHAnsi" w:cs="Arial"/>
              </w:rPr>
              <w:lastRenderedPageBreak/>
              <w:t>31.03.2017. g. u cijelosti je odbijen tužbeni zahtjev tužitelja, te je tužiteljima naloženo plaćanje parničnog troška tuženiku u iznosu od ukupno 17.500,00 kn 11.04.2017. g. žalba tužitelja Spis se nalazi na Županijskom sudu, na rješavanju po žalbi tužitelja. Očekujemo da će presuda Županijskog suda biti povoljna za tuženika.</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lastRenderedPageBreak/>
              <w:t>4.</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G-6921-08</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Prekršajni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Nada Čikeš</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51.000,00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Presuda 24.05.2010.g. - okrivljeni proglašeni krivima. Žalba okrivljenika 09.07.2010.g. koja još nije riješena. Pretpostavljamo da će postupak biti obustavljen.</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5.</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Ovrv-86/2010 Povrv- 11221/11 Povrv- 23727/13</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građanski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293.910,33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Rješenje o ovrsi 23.11.2010.g. Prigovor ovršenika protiv rješenja o ovrsi 07.12.2010.g. Rješenje Općinskog građanskog suda u Zagrebu od 08.05.2013.g. kojim se oglašava stvarno nenadležnim Žalba tuženika od 24.05.2013.g. Rješenje Županijskog suda u Zagrebu od 27.09.2013.g. -uvažena žalba tuženika, ukinuto prvostupanjsko rješenje i predmet vraćen na daljnji postupak Podneskom od 26.05.2015.g. tuženik osporava visinu i osnov</w:t>
            </w:r>
            <w:r>
              <w:rPr>
                <w:rFonts w:asciiTheme="minorHAnsi" w:hAnsiTheme="minorHAnsi" w:cs="Arial"/>
              </w:rPr>
              <w:t>u</w:t>
            </w:r>
            <w:r w:rsidRPr="008B5FBC">
              <w:rPr>
                <w:rFonts w:asciiTheme="minorHAnsi" w:hAnsiTheme="minorHAnsi" w:cs="Arial"/>
              </w:rPr>
              <w:t xml:space="preserve"> tužbenog zahtjeva 20.09.2017. g. provedeno je financijsko vještačenje na okolnost visine potraživanja, a na koje se tužitelj očitovano 13.10.2017.g., a tuženik 20.10.2017.g. 11.01.2018. g. provedeno je dopunsko financijsko vještačenje (očitovanje na prigovore tužitelja i tuženika) Presuda 12.04.2018.g. kojom je odbijen tužbeni zahtjev u cijelosti 26.04.2018. g. žalba tužitelja 24.05.2018. g. odgovor tuženika na žalbu tužitelja Ishod ovog postupka je neizvjestan</w:t>
            </w:r>
            <w:r>
              <w:rPr>
                <w:rFonts w:asciiTheme="minorHAnsi" w:hAnsiTheme="minorHAnsi" w:cs="Arial"/>
              </w:rPr>
              <w:t>.</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6.</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Pr-2783/14 Pr-4650/18</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650.000,00</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Tužba od 25.04.2014.g. Odgovor na tužbu od 19.05.2014.g. Presudom općinskog radnog suda u Zagrebu od 15.05.2018.g. odbijen je tužbeni zahtjev tužitelja u cijelosti te mu je naloženo plaćanje parničnih troškova tuženiku i iznosu od 52.500.00 kn Tužitelj je uložio žalbu 29.05.2018.g. Rješenjem Županijskog suda od 17.07.2018.g. ukinuta je prvostupanjska presuda i predmet vra</w:t>
            </w:r>
            <w:r>
              <w:rPr>
                <w:rFonts w:asciiTheme="minorHAnsi" w:hAnsiTheme="minorHAnsi" w:cs="Arial"/>
              </w:rPr>
              <w:t>ć</w:t>
            </w:r>
            <w:r w:rsidRPr="008B5FBC">
              <w:rPr>
                <w:rFonts w:asciiTheme="minorHAnsi" w:hAnsiTheme="minorHAnsi" w:cs="Arial"/>
              </w:rPr>
              <w:t>en prvostupanjskom sudu na ponovno odlučivanje Ročište održano 10.01.2018.g.</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7.</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Pr-9254/13</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1.020.000,00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Presudom Općinskog radnog suda u Zagrebu od 24.05.2018.g. odbijen je tužbeni zahtjev tužitelja i cijelosti te mu je naloženo plaćanje parničnog troška tuženiku u iznosu od 180.287.50 kn. Tužitelj je uložio žalbu 04.06.2018.g. Očekujemo pozitivan ishod postupka za tuženika u ovom predmetu.</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8.</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Pr-2784/14</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 xml:space="preserve">Općinski radni sud u </w:t>
            </w:r>
            <w:r w:rsidRPr="008B5FBC">
              <w:rPr>
                <w:rFonts w:asciiTheme="minorHAnsi" w:hAnsiTheme="minorHAnsi" w:cs="Arial"/>
              </w:rPr>
              <w:lastRenderedPageBreak/>
              <w:t>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lastRenderedPageBreak/>
              <w:t>11.470,40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 xml:space="preserve">Presuda Općinskog radnog suda u Zagrebu od 30.09.2015.g. odbijen je tužbeni zahtjev tužitelja u cijelosti, te je naloženo tužitelju da tuženiku </w:t>
            </w:r>
            <w:r w:rsidRPr="008B5FBC">
              <w:rPr>
                <w:rFonts w:asciiTheme="minorHAnsi" w:hAnsiTheme="minorHAnsi" w:cs="Arial"/>
              </w:rPr>
              <w:lastRenderedPageBreak/>
              <w:t>plati trošak parničnog postupka u iznosu od 16.250,00 kn Žalba tužitelja 09.10.2015.g. Presudom Županijskog suda u Splitu od 22.03.2017.g. odbijena je žalba tužitelja i potvrđena prvostupanjska presuda Predmet je pravomoćno okonča</w:t>
            </w:r>
            <w:r>
              <w:rPr>
                <w:rFonts w:asciiTheme="minorHAnsi" w:hAnsiTheme="minorHAnsi" w:cs="Arial"/>
              </w:rPr>
              <w:t>n</w:t>
            </w:r>
            <w:r w:rsidRPr="008B5FBC">
              <w:rPr>
                <w:rFonts w:asciiTheme="minorHAnsi" w:hAnsiTheme="minorHAnsi" w:cs="Arial"/>
              </w:rPr>
              <w:t>. U tijeku je postupak prisilne naplate parničnih troškova na teret tužitelja putem Financijske agencije. Revizija tužitelja 02.03.2017.g. Spis se nalazi na Vrhovnom sudu RH, na rješavanju po reviziji tužitelja. Očekujemo da će odluka Vrhovnog suda RH biti povoljna za tuženika.</w:t>
            </w:r>
          </w:p>
          <w:p w:rsidR="00E2164C" w:rsidRPr="008B5FBC" w:rsidRDefault="00E2164C" w:rsidP="00CC4D66">
            <w:pPr>
              <w:rPr>
                <w:rFonts w:asciiTheme="minorHAnsi" w:hAnsiTheme="minorHAnsi"/>
              </w:rPr>
            </w:pP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lastRenderedPageBreak/>
              <w:t>9.</w:t>
            </w:r>
          </w:p>
        </w:tc>
        <w:tc>
          <w:tcPr>
            <w:tcW w:w="850" w:type="dxa"/>
          </w:tcPr>
          <w:p w:rsidR="00E2164C" w:rsidRPr="008B5FBC" w:rsidRDefault="00E2164C" w:rsidP="00CC4D66">
            <w:pPr>
              <w:rPr>
                <w:rFonts w:asciiTheme="minorHAnsi" w:hAnsiTheme="minorHAnsi"/>
              </w:rPr>
            </w:pPr>
            <w:r w:rsidRPr="008B5FBC">
              <w:rPr>
                <w:rFonts w:asciiTheme="minorHAnsi" w:hAnsiTheme="minorHAnsi"/>
              </w:rPr>
              <w:t>Pr-1264/11</w:t>
            </w:r>
          </w:p>
        </w:tc>
        <w:tc>
          <w:tcPr>
            <w:tcW w:w="992" w:type="dxa"/>
          </w:tcPr>
          <w:p w:rsidR="00E2164C" w:rsidRPr="008B5FBC" w:rsidRDefault="00E2164C" w:rsidP="00CC4D66">
            <w:pPr>
              <w:rPr>
                <w:rFonts w:asciiTheme="minorHAnsi" w:hAnsiTheme="minorHAnsi"/>
              </w:rPr>
            </w:pPr>
            <w:r w:rsidRPr="008B5FBC">
              <w:rPr>
                <w:rFonts w:asciiTheme="minorHAnsi" w:hAnsiTheme="minorHAnsi"/>
              </w:rPr>
              <w:t>Općinski radni sud u Zagrebu</w:t>
            </w: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rPr>
            </w:pPr>
            <w:r w:rsidRPr="008B5FBC">
              <w:rPr>
                <w:rFonts w:asciiTheme="minorHAnsi" w:hAnsiTheme="minorHAnsi"/>
              </w:rPr>
              <w:t>5264,98</w:t>
            </w:r>
          </w:p>
        </w:tc>
        <w:tc>
          <w:tcPr>
            <w:tcW w:w="4252" w:type="dxa"/>
          </w:tcPr>
          <w:p w:rsidR="00E2164C" w:rsidRPr="008B5FBC" w:rsidRDefault="00E2164C" w:rsidP="00CC4D66">
            <w:pPr>
              <w:rPr>
                <w:rFonts w:asciiTheme="minorHAnsi" w:hAnsiTheme="minorHAnsi"/>
              </w:rPr>
            </w:pPr>
            <w:r w:rsidRPr="008B5FBC">
              <w:rPr>
                <w:rFonts w:asciiTheme="minorHAnsi" w:hAnsiTheme="minorHAnsi"/>
              </w:rPr>
              <w:t>Presudom Općinskog radnog suda u Zagrebu od 11.05.2011.g. usvojen je tužbeni zahtjev tužiteljice u cijelosti, te je tuženiku naloženo plaćanje parničnog troška tužiteljici u iznosu od 9.180,00 kn</w:t>
            </w:r>
          </w:p>
          <w:p w:rsidR="00E2164C" w:rsidRPr="008B5FBC" w:rsidRDefault="00E2164C" w:rsidP="00CC4D66">
            <w:pPr>
              <w:rPr>
                <w:rFonts w:asciiTheme="minorHAnsi" w:hAnsiTheme="minorHAnsi"/>
              </w:rPr>
            </w:pPr>
            <w:r w:rsidRPr="008B5FBC">
              <w:rPr>
                <w:rFonts w:asciiTheme="minorHAnsi" w:hAnsiTheme="minorHAnsi"/>
              </w:rPr>
              <w:t>31.05.2011. g. žalba tuženika 03.06.2011. g. žalba tužitelja Presuda Županijskog suda u Zagrebu od 01.03.2.016.g. kojom je djelomično potvrđena prvostupanjska presuda, a djelomično preinačena 03.05.2016.g. revizija tužiteljice Predmet je pravomoćno okončan, a tužiteljica je podn</w:t>
            </w:r>
            <w:r>
              <w:rPr>
                <w:rFonts w:asciiTheme="minorHAnsi" w:hAnsiTheme="minorHAnsi"/>
              </w:rPr>
              <w:t>i</w:t>
            </w:r>
            <w:r w:rsidRPr="008B5FBC">
              <w:rPr>
                <w:rFonts w:asciiTheme="minorHAnsi" w:hAnsiTheme="minorHAnsi"/>
              </w:rPr>
              <w:t>jela reviziju u odnosu na odluke sudova o dijelu tužbenog zahtjeva koji se odnosi na isplatu zateznih kamata na iznose poreza na dohodak i prireza porezu na dohodak</w:t>
            </w: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10.</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Pr-3346/11</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w:t>
            </w:r>
            <w:r>
              <w:rPr>
                <w:rFonts w:asciiTheme="minorHAnsi" w:hAnsiTheme="minorHAnsi" w:cs="Arial"/>
              </w:rPr>
              <w:t xml:space="preserve"> </w:t>
            </w:r>
            <w:r w:rsidRPr="008B5FBC">
              <w:rPr>
                <w:rFonts w:asciiTheme="minorHAnsi" w:hAnsiTheme="minorHAnsi" w:cs="Arial"/>
              </w:rPr>
              <w:t>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u Zagrebu</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13.896,01 kn</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rPr>
            </w:pPr>
            <w:r w:rsidRPr="008B5FBC">
              <w:rPr>
                <w:rFonts w:asciiTheme="minorHAnsi" w:hAnsiTheme="minorHAnsi"/>
              </w:rPr>
              <w:t>Presudom Općinskog radnog suda u Zagrebu od 29.11.2012.g. u cijelosti je usvojen tužbeni za</w:t>
            </w:r>
            <w:r>
              <w:rPr>
                <w:rFonts w:asciiTheme="minorHAnsi" w:hAnsiTheme="minorHAnsi"/>
              </w:rPr>
              <w:t>h</w:t>
            </w:r>
            <w:r w:rsidRPr="008B5FBC">
              <w:rPr>
                <w:rFonts w:asciiTheme="minorHAnsi" w:hAnsiTheme="minorHAnsi"/>
              </w:rPr>
              <w:t>tjev tužiteljice i naloženo tuženiku da tužiteljici isplati iznos od 13.896,01 kn, kao i troškove parničnog postupka u iznosu od 5.000,00 kn13.12.2012.g. žalba tuženika</w:t>
            </w:r>
            <w:r>
              <w:rPr>
                <w:rFonts w:asciiTheme="minorHAnsi" w:hAnsiTheme="minorHAnsi"/>
              </w:rPr>
              <w:t xml:space="preserve">. </w:t>
            </w:r>
            <w:r w:rsidRPr="008B5FBC">
              <w:rPr>
                <w:rFonts w:asciiTheme="minorHAnsi" w:hAnsiTheme="minorHAnsi"/>
              </w:rPr>
              <w:t>Presudom Županijskog suda u Zagrebu od 25.09.2014.g. potvrđena je prvostupanjska presuda</w:t>
            </w:r>
            <w:r>
              <w:rPr>
                <w:rFonts w:asciiTheme="minorHAnsi" w:hAnsiTheme="minorHAnsi"/>
              </w:rPr>
              <w:t xml:space="preserve">. </w:t>
            </w:r>
            <w:r w:rsidRPr="008B5FBC">
              <w:rPr>
                <w:rFonts w:asciiTheme="minorHAnsi" w:hAnsiTheme="minorHAnsi"/>
              </w:rPr>
              <w:t>Predmet je pravomoćno okončan</w:t>
            </w:r>
            <w:r>
              <w:rPr>
                <w:rFonts w:asciiTheme="minorHAnsi" w:hAnsiTheme="minorHAnsi"/>
              </w:rPr>
              <w:t xml:space="preserve">. </w:t>
            </w:r>
            <w:r w:rsidRPr="008B5FBC">
              <w:rPr>
                <w:rFonts w:asciiTheme="minorHAnsi" w:hAnsiTheme="minorHAnsi"/>
              </w:rPr>
              <w:t>Tužiteljica je 27.09.2016.g. podnijela prijedlog za ispravak presude koji se odnosi na ime tužiteljice</w:t>
            </w:r>
            <w:r>
              <w:rPr>
                <w:rFonts w:asciiTheme="minorHAnsi" w:hAnsiTheme="minorHAnsi"/>
              </w:rPr>
              <w:t xml:space="preserve"> </w:t>
            </w:r>
            <w:r w:rsidRPr="008B5FBC">
              <w:rPr>
                <w:rFonts w:asciiTheme="minorHAnsi" w:hAnsiTheme="minorHAnsi"/>
              </w:rPr>
              <w:t>Rješenjem od 17.02.2017.g. sud je odbio prijedlog tužiteljice za ispravak presude</w:t>
            </w:r>
            <w:r>
              <w:rPr>
                <w:rFonts w:asciiTheme="minorHAnsi" w:hAnsiTheme="minorHAnsi"/>
              </w:rPr>
              <w:t xml:space="preserve">. </w:t>
            </w:r>
            <w:r w:rsidRPr="008B5FBC">
              <w:rPr>
                <w:rFonts w:asciiTheme="minorHAnsi" w:hAnsiTheme="minorHAnsi"/>
              </w:rPr>
              <w:t>Žalba tužiteljice na navede</w:t>
            </w:r>
            <w:r>
              <w:rPr>
                <w:rFonts w:asciiTheme="minorHAnsi" w:hAnsiTheme="minorHAnsi"/>
              </w:rPr>
              <w:t>n</w:t>
            </w:r>
            <w:r w:rsidRPr="008B5FBC">
              <w:rPr>
                <w:rFonts w:asciiTheme="minorHAnsi" w:hAnsiTheme="minorHAnsi"/>
              </w:rPr>
              <w:t>o rješenje 08.03.017.g.Rješenjem Županijskog suda u Zagrebu od 04.07.2017.g. ukinuto je prvostupanjsko rješenje</w:t>
            </w:r>
            <w:r>
              <w:rPr>
                <w:rFonts w:asciiTheme="minorHAnsi" w:hAnsiTheme="minorHAnsi"/>
              </w:rPr>
              <w:t xml:space="preserve">. </w:t>
            </w:r>
            <w:r w:rsidRPr="008B5FBC">
              <w:rPr>
                <w:rFonts w:asciiTheme="minorHAnsi" w:hAnsiTheme="minorHAnsi"/>
              </w:rPr>
              <w:t>Rješenjem od 19.09.2017.g. sud je odbio prijedlog tužiteljice za ispravak presude</w:t>
            </w:r>
            <w:r>
              <w:rPr>
                <w:rFonts w:asciiTheme="minorHAnsi" w:hAnsiTheme="minorHAnsi"/>
              </w:rPr>
              <w:t>. Žalba tužiteljice na naved</w:t>
            </w:r>
            <w:r w:rsidRPr="008B5FBC">
              <w:rPr>
                <w:rFonts w:asciiTheme="minorHAnsi" w:hAnsiTheme="minorHAnsi"/>
              </w:rPr>
              <w:t>e</w:t>
            </w:r>
            <w:r>
              <w:rPr>
                <w:rFonts w:asciiTheme="minorHAnsi" w:hAnsiTheme="minorHAnsi"/>
              </w:rPr>
              <w:t>n</w:t>
            </w:r>
            <w:r w:rsidRPr="008B5FBC">
              <w:rPr>
                <w:rFonts w:asciiTheme="minorHAnsi" w:hAnsiTheme="minorHAnsi"/>
              </w:rPr>
              <w:t>o rješenje 18.10.2017.g.</w:t>
            </w:r>
          </w:p>
        </w:tc>
      </w:tr>
      <w:tr w:rsidR="00E2164C" w:rsidRPr="008B5FBC" w:rsidTr="00CC4D66">
        <w:tc>
          <w:tcPr>
            <w:tcW w:w="710" w:type="dxa"/>
          </w:tcPr>
          <w:p w:rsidR="00E2164C" w:rsidRPr="008B5FBC" w:rsidRDefault="00E2164C" w:rsidP="00CC4D66">
            <w:pPr>
              <w:rPr>
                <w:rFonts w:asciiTheme="minorHAnsi" w:hAnsiTheme="minorHAnsi"/>
              </w:rPr>
            </w:pPr>
            <w:r w:rsidRPr="008B5FBC">
              <w:rPr>
                <w:rFonts w:asciiTheme="minorHAnsi" w:hAnsiTheme="minorHAnsi"/>
              </w:rPr>
              <w:t>11.</w:t>
            </w:r>
          </w:p>
        </w:tc>
        <w:tc>
          <w:tcPr>
            <w:tcW w:w="850" w:type="dxa"/>
          </w:tcPr>
          <w:p w:rsidR="00E2164C" w:rsidRPr="008B5FBC" w:rsidRDefault="00E2164C" w:rsidP="00CC4D66">
            <w:pPr>
              <w:rPr>
                <w:rFonts w:asciiTheme="minorHAnsi" w:hAnsiTheme="minorHAnsi" w:cs="Arial"/>
              </w:rPr>
            </w:pPr>
            <w:r w:rsidRPr="008B5FBC">
              <w:rPr>
                <w:rFonts w:asciiTheme="minorHAnsi" w:hAnsiTheme="minorHAnsi" w:cs="Arial"/>
              </w:rPr>
              <w:t>Pr-4794/18</w:t>
            </w:r>
          </w:p>
          <w:p w:rsidR="00E2164C" w:rsidRPr="008B5FBC" w:rsidRDefault="00E2164C" w:rsidP="00CC4D66">
            <w:pPr>
              <w:rPr>
                <w:rFonts w:asciiTheme="minorHAnsi" w:hAnsiTheme="minorHAnsi"/>
              </w:rPr>
            </w:pPr>
          </w:p>
        </w:tc>
        <w:tc>
          <w:tcPr>
            <w:tcW w:w="992" w:type="dxa"/>
          </w:tcPr>
          <w:p w:rsidR="00E2164C" w:rsidRPr="008B5FBC" w:rsidRDefault="00E2164C" w:rsidP="00CC4D66">
            <w:pPr>
              <w:rPr>
                <w:rFonts w:asciiTheme="minorHAnsi" w:hAnsiTheme="minorHAnsi" w:cs="Arial"/>
              </w:rPr>
            </w:pPr>
            <w:r w:rsidRPr="008B5FBC">
              <w:rPr>
                <w:rFonts w:asciiTheme="minorHAnsi" w:hAnsiTheme="minorHAnsi" w:cs="Arial"/>
              </w:rPr>
              <w:t>Općinski radni sud u Zagrebu</w:t>
            </w:r>
          </w:p>
          <w:p w:rsidR="00E2164C" w:rsidRPr="008B5FBC" w:rsidRDefault="00E2164C" w:rsidP="00CC4D66">
            <w:pPr>
              <w:rPr>
                <w:rFonts w:asciiTheme="minorHAnsi" w:hAnsiTheme="minorHAnsi"/>
              </w:rPr>
            </w:pPr>
          </w:p>
        </w:tc>
        <w:tc>
          <w:tcPr>
            <w:tcW w:w="1702" w:type="dxa"/>
          </w:tcPr>
          <w:p w:rsidR="00E2164C" w:rsidRPr="008B5FBC" w:rsidRDefault="00E2164C" w:rsidP="00CC4D66">
            <w:pPr>
              <w:rPr>
                <w:rFonts w:asciiTheme="minorHAnsi" w:hAnsiTheme="minorHAnsi" w:cs="Arial"/>
              </w:rPr>
            </w:pPr>
            <w:r w:rsidRPr="008B5FBC">
              <w:rPr>
                <w:rFonts w:asciiTheme="minorHAnsi" w:hAnsiTheme="minorHAnsi" w:cs="Arial"/>
              </w:rPr>
              <w:t>Medicinski fakultet Zagreb</w:t>
            </w:r>
          </w:p>
          <w:p w:rsidR="00E2164C" w:rsidRPr="008B5FBC" w:rsidRDefault="00E2164C" w:rsidP="00CC4D66">
            <w:pPr>
              <w:rPr>
                <w:rFonts w:asciiTheme="minorHAnsi" w:hAnsiTheme="minorHAnsi"/>
              </w:rPr>
            </w:pPr>
          </w:p>
        </w:tc>
        <w:tc>
          <w:tcPr>
            <w:tcW w:w="1417" w:type="dxa"/>
          </w:tcPr>
          <w:p w:rsidR="00E2164C" w:rsidRPr="008B5FBC" w:rsidRDefault="00E2164C" w:rsidP="00CC4D66">
            <w:pPr>
              <w:rPr>
                <w:rFonts w:asciiTheme="minorHAnsi" w:hAnsiTheme="minorHAnsi" w:cs="Arial"/>
              </w:rPr>
            </w:pPr>
            <w:r w:rsidRPr="008B5FBC">
              <w:rPr>
                <w:rFonts w:asciiTheme="minorHAnsi" w:hAnsiTheme="minorHAnsi" w:cs="Arial"/>
              </w:rPr>
              <w:t xml:space="preserve">6.500.00 kn </w:t>
            </w:r>
          </w:p>
          <w:p w:rsidR="00E2164C" w:rsidRPr="008B5FBC" w:rsidRDefault="00E2164C" w:rsidP="00CC4D66">
            <w:pPr>
              <w:rPr>
                <w:rFonts w:asciiTheme="minorHAnsi" w:hAnsiTheme="minorHAnsi"/>
              </w:rPr>
            </w:pPr>
          </w:p>
        </w:tc>
        <w:tc>
          <w:tcPr>
            <w:tcW w:w="4252" w:type="dxa"/>
          </w:tcPr>
          <w:p w:rsidR="00E2164C" w:rsidRPr="008B5FBC" w:rsidRDefault="00E2164C" w:rsidP="00CC4D66">
            <w:pPr>
              <w:rPr>
                <w:rFonts w:asciiTheme="minorHAnsi" w:hAnsiTheme="minorHAnsi" w:cs="Arial"/>
              </w:rPr>
            </w:pPr>
            <w:r w:rsidRPr="008B5FBC">
              <w:rPr>
                <w:rFonts w:asciiTheme="minorHAnsi" w:hAnsiTheme="minorHAnsi" w:cs="Arial"/>
              </w:rPr>
              <w:t>mjesečno od 25.07.2018.g. do vraćanja na rad. Tužba 05.09.2018.g., odgovor na tužbu 18.09.2018.g. Održano ročište 12.11.2018.g., a sljedeće nije zakazano.</w:t>
            </w:r>
          </w:p>
          <w:p w:rsidR="00E2164C" w:rsidRPr="008B5FBC" w:rsidRDefault="00E2164C" w:rsidP="00CC4D66">
            <w:pPr>
              <w:rPr>
                <w:rFonts w:asciiTheme="minorHAnsi" w:hAnsiTheme="minorHAnsi"/>
              </w:rPr>
            </w:pPr>
          </w:p>
        </w:tc>
      </w:tr>
    </w:tbl>
    <w:p w:rsidR="00FE1E7A" w:rsidRDefault="00FE1E7A" w:rsidP="001554D8">
      <w:pPr>
        <w:spacing w:after="0" w:line="240" w:lineRule="auto"/>
      </w:pPr>
    </w:p>
    <w:p w:rsidR="00E2164C" w:rsidRDefault="00E2164C">
      <w:r>
        <w:br w:type="page"/>
      </w:r>
    </w:p>
    <w:p w:rsidR="00083CA4" w:rsidRDefault="00083CA4" w:rsidP="00083CA4">
      <w:pPr>
        <w:spacing w:after="0" w:line="240" w:lineRule="auto"/>
        <w:ind w:left="2124"/>
        <w:rPr>
          <w:b/>
          <w:i/>
        </w:rPr>
      </w:pPr>
      <w:r>
        <w:rPr>
          <w:b/>
          <w:i/>
        </w:rPr>
        <w:lastRenderedPageBreak/>
        <w:t>Bilješke  uz Obrazac P-VRIO</w:t>
      </w:r>
    </w:p>
    <w:p w:rsidR="00FE1E7A" w:rsidRDefault="00FE1E7A" w:rsidP="00FE1E7A">
      <w:pPr>
        <w:spacing w:after="0" w:line="240" w:lineRule="auto"/>
        <w:rPr>
          <w:b/>
          <w:i/>
        </w:rPr>
      </w:pPr>
    </w:p>
    <w:p w:rsidR="0081699D" w:rsidRDefault="0081699D" w:rsidP="00083CA4">
      <w:pPr>
        <w:spacing w:after="0" w:line="240" w:lineRule="auto"/>
        <w:ind w:left="2124"/>
        <w:rPr>
          <w:b/>
          <w:i/>
        </w:rPr>
      </w:pPr>
    </w:p>
    <w:p w:rsidR="009E7FBD" w:rsidRDefault="00083CA4" w:rsidP="0081699D">
      <w:pPr>
        <w:pStyle w:val="ListParagraph"/>
        <w:numPr>
          <w:ilvl w:val="0"/>
          <w:numId w:val="7"/>
        </w:numPr>
        <w:spacing w:after="0" w:line="240" w:lineRule="auto"/>
      </w:pPr>
      <w:r>
        <w:t xml:space="preserve">AOP </w:t>
      </w:r>
      <w:r>
        <w:tab/>
        <w:t>0</w:t>
      </w:r>
      <w:r w:rsidR="0081699D">
        <w:t>1</w:t>
      </w:r>
      <w:r w:rsidR="00FE1E7A">
        <w:t>8</w:t>
      </w:r>
      <w:r w:rsidR="00C7307A">
        <w:t xml:space="preserve">  </w:t>
      </w:r>
      <w:r w:rsidR="004C6E3E">
        <w:tab/>
        <w:t>Smanjenje nefinancijske imovine se odnosi na rashode nefinanc</w:t>
      </w:r>
      <w:r w:rsidR="00313AB0">
        <w:t xml:space="preserve">ijske </w:t>
      </w:r>
      <w:r w:rsidR="004C6E3E">
        <w:t xml:space="preserve"> </w:t>
      </w:r>
      <w:r w:rsidR="008B5FBC">
        <w:t>i</w:t>
      </w:r>
      <w:r w:rsidR="004C6E3E">
        <w:t>movine,</w:t>
      </w:r>
    </w:p>
    <w:p w:rsidR="009E7FBD" w:rsidRDefault="009E7FBD" w:rsidP="009E7FBD">
      <w:pPr>
        <w:spacing w:after="0" w:line="240" w:lineRule="auto"/>
        <w:ind w:left="2124"/>
      </w:pPr>
      <w:r>
        <w:t xml:space="preserve">sitnog inventara i knjiga  uslijed tehnološke zastare, neupotrebljivosti, istrošenosti i </w:t>
      </w:r>
      <w:r w:rsidR="00612D75">
        <w:t>s</w:t>
      </w:r>
      <w:r>
        <w:t>lično.</w:t>
      </w:r>
    </w:p>
    <w:p w:rsidR="009E7FBD" w:rsidRDefault="009E7FBD" w:rsidP="009E7FBD">
      <w:pPr>
        <w:spacing w:after="0" w:line="240" w:lineRule="auto"/>
        <w:ind w:left="2124"/>
      </w:pPr>
    </w:p>
    <w:p w:rsidR="00DC5A5F" w:rsidRDefault="00DC5A5F" w:rsidP="005955A2">
      <w:pPr>
        <w:pStyle w:val="ListParagraph"/>
        <w:spacing w:after="0" w:line="240" w:lineRule="auto"/>
        <w:ind w:left="2124"/>
      </w:pPr>
    </w:p>
    <w:p w:rsidR="009E7FBD" w:rsidRDefault="00DC5A5F" w:rsidP="00DC5A5F">
      <w:pPr>
        <w:spacing w:after="0" w:line="240" w:lineRule="auto"/>
        <w:ind w:left="2124"/>
        <w:rPr>
          <w:b/>
          <w:i/>
        </w:rPr>
      </w:pPr>
      <w:r>
        <w:rPr>
          <w:b/>
          <w:i/>
        </w:rPr>
        <w:t>Bilješke  uz Obrazac RAS-funkcijski</w:t>
      </w:r>
    </w:p>
    <w:p w:rsidR="00593206" w:rsidRDefault="00593206" w:rsidP="00DC5A5F">
      <w:pPr>
        <w:spacing w:after="0" w:line="240" w:lineRule="auto"/>
        <w:ind w:left="2124"/>
        <w:rPr>
          <w:b/>
          <w:i/>
        </w:rPr>
      </w:pPr>
    </w:p>
    <w:p w:rsidR="00593206" w:rsidRDefault="00593206" w:rsidP="00DC5A5F">
      <w:pPr>
        <w:spacing w:after="0" w:line="240" w:lineRule="auto"/>
        <w:ind w:left="2124"/>
      </w:pPr>
    </w:p>
    <w:p w:rsidR="001B5809" w:rsidRDefault="00DC5A5F" w:rsidP="00DC5A5F">
      <w:pPr>
        <w:pStyle w:val="ListParagraph"/>
        <w:numPr>
          <w:ilvl w:val="0"/>
          <w:numId w:val="10"/>
        </w:numPr>
        <w:spacing w:after="0" w:line="240" w:lineRule="auto"/>
      </w:pPr>
      <w:r>
        <w:t>AOP</w:t>
      </w:r>
      <w:r w:rsidR="00593206">
        <w:tab/>
        <w:t>120</w:t>
      </w:r>
      <w:r w:rsidR="00593206">
        <w:tab/>
        <w:t>Troškovi  drugog stupnja visoke naobrazbe obuhvaćaju</w:t>
      </w:r>
      <w:r w:rsidR="001B5809">
        <w:t xml:space="preserve"> troškove nastave</w:t>
      </w:r>
    </w:p>
    <w:p w:rsidR="00DC5A5F" w:rsidRDefault="001B5809" w:rsidP="001B5809">
      <w:pPr>
        <w:pStyle w:val="ListParagraph"/>
        <w:spacing w:after="0" w:line="240" w:lineRule="auto"/>
        <w:ind w:left="2106" w:firstLine="18"/>
      </w:pPr>
      <w:r>
        <w:t>d</w:t>
      </w:r>
      <w:r w:rsidR="00593206">
        <w:t>odiplomsk</w:t>
      </w:r>
      <w:r>
        <w:t xml:space="preserve">og </w:t>
      </w:r>
      <w:r w:rsidR="00593206">
        <w:t xml:space="preserve"> integriran</w:t>
      </w:r>
      <w:r>
        <w:t>og studija,</w:t>
      </w:r>
      <w:r w:rsidR="008B5FBC">
        <w:t xml:space="preserve"> </w:t>
      </w:r>
      <w:r>
        <w:t xml:space="preserve">dodiplomski integrirani studij na </w:t>
      </w:r>
    </w:p>
    <w:p w:rsidR="001B5809" w:rsidRDefault="001B5809" w:rsidP="001B5809">
      <w:pPr>
        <w:pStyle w:val="ListParagraph"/>
        <w:spacing w:after="0" w:line="240" w:lineRule="auto"/>
        <w:ind w:left="2106" w:firstLine="18"/>
      </w:pPr>
      <w:r>
        <w:t>engleskom jeziku,</w:t>
      </w:r>
      <w:r w:rsidR="00593206">
        <w:t xml:space="preserve"> studij sestrinstva, poslijediplomski doktorski</w:t>
      </w:r>
      <w:r>
        <w:t xml:space="preserve"> studij, poslijediplomske specijalističke studije,</w:t>
      </w:r>
      <w:r w:rsidR="008B5FBC">
        <w:t xml:space="preserve"> </w:t>
      </w:r>
      <w:r>
        <w:t>tečajevi trajne edukacije i dr.</w:t>
      </w:r>
    </w:p>
    <w:p w:rsidR="001B5809" w:rsidRDefault="001B5809" w:rsidP="001B5809">
      <w:pPr>
        <w:pStyle w:val="ListParagraph"/>
        <w:spacing w:after="0" w:line="240" w:lineRule="auto"/>
        <w:ind w:left="2106" w:firstLine="18"/>
      </w:pPr>
    </w:p>
    <w:p w:rsidR="00DC5A5F" w:rsidRDefault="00DC5A5F" w:rsidP="00DC5A5F">
      <w:pPr>
        <w:spacing w:after="0" w:line="240" w:lineRule="auto"/>
        <w:ind w:left="2124"/>
      </w:pPr>
    </w:p>
    <w:p w:rsidR="001B5809" w:rsidRDefault="001B5809" w:rsidP="001B5809">
      <w:pPr>
        <w:pStyle w:val="ListParagraph"/>
        <w:numPr>
          <w:ilvl w:val="0"/>
          <w:numId w:val="10"/>
        </w:numPr>
        <w:spacing w:after="0" w:line="240" w:lineRule="auto"/>
      </w:pPr>
      <w:r>
        <w:t>AOP</w:t>
      </w:r>
      <w:r w:rsidR="00C835B2">
        <w:tab/>
      </w:r>
      <w:r>
        <w:t xml:space="preserve"> </w:t>
      </w:r>
      <w:r w:rsidR="00FE1E7A">
        <w:t>123</w:t>
      </w:r>
      <w:r>
        <w:tab/>
        <w:t>Troškovi  istraživanja i razvoj obrazovanja obuhvaćaju troškove znanstvenih</w:t>
      </w:r>
    </w:p>
    <w:p w:rsidR="001B5809" w:rsidRDefault="001B5809" w:rsidP="001B5809">
      <w:pPr>
        <w:pStyle w:val="ListParagraph"/>
        <w:spacing w:after="0" w:line="240" w:lineRule="auto"/>
        <w:ind w:left="690"/>
      </w:pPr>
      <w:r>
        <w:tab/>
      </w:r>
      <w:r>
        <w:tab/>
      </w:r>
      <w:r>
        <w:tab/>
        <w:t>projekata  EU,drugih međunarodnih projekata, potpore Sveučilišta, Hrvatske</w:t>
      </w:r>
    </w:p>
    <w:p w:rsidR="007A3EE1" w:rsidRDefault="001B5809" w:rsidP="001B5809">
      <w:pPr>
        <w:pStyle w:val="ListParagraph"/>
        <w:spacing w:after="0" w:line="240" w:lineRule="auto"/>
        <w:ind w:left="690"/>
      </w:pPr>
      <w:r>
        <w:tab/>
      </w:r>
      <w:r>
        <w:tab/>
      </w:r>
      <w:r>
        <w:tab/>
        <w:t>zaklade za znanost, Cent</w:t>
      </w:r>
      <w:r w:rsidR="007A3EE1">
        <w:t xml:space="preserve">ara </w:t>
      </w:r>
      <w:r>
        <w:t xml:space="preserve"> izvrsnosti,</w:t>
      </w:r>
      <w:r w:rsidR="00B668AF">
        <w:t xml:space="preserve"> </w:t>
      </w:r>
      <w:r w:rsidR="007A3EE1">
        <w:t xml:space="preserve"> Agencije za strukovno obrazovanje i</w:t>
      </w:r>
    </w:p>
    <w:p w:rsidR="00B668AF" w:rsidRDefault="007A3EE1" w:rsidP="00B668AF">
      <w:pPr>
        <w:pStyle w:val="ListParagraph"/>
        <w:spacing w:after="0" w:line="240" w:lineRule="auto"/>
        <w:ind w:left="2106" w:firstLine="18"/>
      </w:pPr>
      <w:r>
        <w:t>obrazovanje odraslih,</w:t>
      </w:r>
      <w:r w:rsidR="001B5809">
        <w:t xml:space="preserve"> troškove znanstvenog  časopisa</w:t>
      </w:r>
      <w:r w:rsidR="00B668AF">
        <w:t xml:space="preserve"> </w:t>
      </w:r>
      <w:r w:rsidR="00C835B2">
        <w:t>Croatian</w:t>
      </w:r>
      <w:r w:rsidR="00B668AF">
        <w:t xml:space="preserve"> m</w:t>
      </w:r>
      <w:r w:rsidR="00C835B2">
        <w:t xml:space="preserve">edical </w:t>
      </w:r>
    </w:p>
    <w:p w:rsidR="00C835B2" w:rsidRDefault="00C835B2" w:rsidP="00B668AF">
      <w:pPr>
        <w:pStyle w:val="ListParagraph"/>
        <w:spacing w:after="0" w:line="240" w:lineRule="auto"/>
        <w:ind w:left="2106" w:firstLine="18"/>
      </w:pPr>
      <w:r>
        <w:t xml:space="preserve">journal </w:t>
      </w:r>
      <w:r w:rsidR="00B668AF">
        <w:t xml:space="preserve"> </w:t>
      </w:r>
      <w:r>
        <w:t>i dr.</w:t>
      </w:r>
    </w:p>
    <w:p w:rsidR="00C835B2" w:rsidRDefault="00441570" w:rsidP="001B5809">
      <w:pPr>
        <w:pStyle w:val="ListParagraph"/>
        <w:spacing w:after="0" w:line="240" w:lineRule="auto"/>
        <w:ind w:left="690"/>
      </w:pPr>
      <w:r>
        <w:tab/>
      </w:r>
      <w:r>
        <w:tab/>
      </w:r>
      <w:r>
        <w:tab/>
      </w:r>
    </w:p>
    <w:p w:rsidR="00C835B2" w:rsidRDefault="00C835B2" w:rsidP="001B5809">
      <w:pPr>
        <w:pStyle w:val="ListParagraph"/>
        <w:spacing w:after="0" w:line="240" w:lineRule="auto"/>
        <w:ind w:left="690"/>
      </w:pPr>
    </w:p>
    <w:p w:rsidR="00441570" w:rsidRDefault="00441570" w:rsidP="00441570">
      <w:pPr>
        <w:spacing w:after="0" w:line="240" w:lineRule="auto"/>
        <w:ind w:left="2124"/>
        <w:rPr>
          <w:b/>
          <w:i/>
        </w:rPr>
      </w:pPr>
      <w:r>
        <w:rPr>
          <w:b/>
          <w:i/>
        </w:rPr>
        <w:t>Bilješke  uz Obrazac OBVEZE</w:t>
      </w:r>
    </w:p>
    <w:p w:rsidR="00DE3FAA" w:rsidRDefault="00DE3FAA" w:rsidP="00441570">
      <w:pPr>
        <w:spacing w:after="0" w:line="240" w:lineRule="auto"/>
        <w:ind w:left="2124"/>
        <w:rPr>
          <w:b/>
          <w:i/>
        </w:rPr>
      </w:pPr>
    </w:p>
    <w:p w:rsidR="00DE3FAA" w:rsidRDefault="003D7064" w:rsidP="003D7064">
      <w:pPr>
        <w:spacing w:after="0" w:line="240" w:lineRule="auto"/>
      </w:pPr>
      <w:r>
        <w:t xml:space="preserve">1. </w:t>
      </w:r>
      <w:r>
        <w:tab/>
        <w:t>AOP</w:t>
      </w:r>
      <w:r>
        <w:tab/>
        <w:t>001</w:t>
      </w:r>
      <w:r>
        <w:tab/>
        <w:t>Početno stanje obveza sastoji se od nepodmirenih obveza za plaće za 12 mjesec</w:t>
      </w:r>
    </w:p>
    <w:p w:rsidR="003D7064" w:rsidRDefault="003D7064" w:rsidP="003D7064">
      <w:pPr>
        <w:spacing w:after="0" w:line="240" w:lineRule="auto"/>
      </w:pPr>
      <w:r>
        <w:tab/>
      </w:r>
      <w:r>
        <w:tab/>
      </w:r>
      <w:r>
        <w:tab/>
        <w:t>201</w:t>
      </w:r>
      <w:r w:rsidR="00612D75">
        <w:t>7</w:t>
      </w:r>
      <w:r>
        <w:t>.g.</w:t>
      </w:r>
      <w:r w:rsidR="00B668AF">
        <w:t xml:space="preserve"> </w:t>
      </w:r>
      <w:r>
        <w:t>-</w:t>
      </w:r>
      <w:r w:rsidR="00B668AF">
        <w:t xml:space="preserve"> </w:t>
      </w:r>
      <w:r>
        <w:t>podmirene u siječnju 201</w:t>
      </w:r>
      <w:r w:rsidR="00612D75">
        <w:t>8</w:t>
      </w:r>
      <w:r>
        <w:t>.,</w:t>
      </w:r>
      <w:r w:rsidR="00B668AF">
        <w:t xml:space="preserve"> </w:t>
      </w:r>
      <w:r>
        <w:t>materijalnih i financijskih rashoda podmirenih u</w:t>
      </w:r>
      <w:r>
        <w:tab/>
      </w:r>
      <w:r>
        <w:tab/>
      </w:r>
      <w:r>
        <w:tab/>
      </w:r>
      <w:r>
        <w:tab/>
        <w:t>siječnju 201</w:t>
      </w:r>
      <w:r w:rsidR="00612D75">
        <w:t>8</w:t>
      </w:r>
      <w:r>
        <w:t>.g. kao i obveze za EU predujmove</w:t>
      </w:r>
    </w:p>
    <w:p w:rsidR="003D7064" w:rsidRDefault="003D7064" w:rsidP="003D7064">
      <w:pPr>
        <w:spacing w:after="0" w:line="240" w:lineRule="auto"/>
      </w:pPr>
    </w:p>
    <w:p w:rsidR="003D7064" w:rsidRPr="00DE3FAA" w:rsidRDefault="002931BD" w:rsidP="002931BD">
      <w:pPr>
        <w:spacing w:after="0" w:line="240" w:lineRule="auto"/>
        <w:ind w:left="708" w:hanging="705"/>
      </w:pPr>
      <w:r>
        <w:t>2.</w:t>
      </w:r>
      <w:r>
        <w:tab/>
        <w:t>AOP</w:t>
      </w:r>
      <w:r>
        <w:tab/>
        <w:t>09</w:t>
      </w:r>
      <w:r w:rsidR="00031FEA">
        <w:t>0</w:t>
      </w:r>
      <w:r>
        <w:tab/>
        <w:t>Stanje nedospjelih obv</w:t>
      </w:r>
      <w:r w:rsidR="00736664">
        <w:t>eza sastoji se od obveza za plać</w:t>
      </w:r>
      <w:r>
        <w:t xml:space="preserve">e za prosinac  podmirene u </w:t>
      </w:r>
    </w:p>
    <w:p w:rsidR="00C835B2" w:rsidRDefault="002931BD" w:rsidP="001B5809">
      <w:pPr>
        <w:pStyle w:val="ListParagraph"/>
        <w:spacing w:after="0" w:line="240" w:lineRule="auto"/>
        <w:ind w:left="690"/>
      </w:pPr>
      <w:r>
        <w:tab/>
      </w:r>
      <w:r>
        <w:tab/>
      </w:r>
      <w:r>
        <w:tab/>
        <w:t>siječnju 201</w:t>
      </w:r>
      <w:r w:rsidR="00612D75">
        <w:t>9</w:t>
      </w:r>
      <w:r>
        <w:t>.g.</w:t>
      </w:r>
      <w:r w:rsidR="00B668AF">
        <w:t xml:space="preserve"> </w:t>
      </w:r>
      <w:r>
        <w:t>materijalnih rashoda podmirenih u siječnju 201</w:t>
      </w:r>
      <w:r w:rsidR="00612D75">
        <w:t>9.</w:t>
      </w:r>
      <w:r>
        <w:t>g,</w:t>
      </w:r>
      <w:r w:rsidR="00B668AF">
        <w:t xml:space="preserve"> </w:t>
      </w:r>
      <w:r>
        <w:t>obveze za</w:t>
      </w:r>
    </w:p>
    <w:p w:rsidR="002931BD" w:rsidRDefault="002931BD" w:rsidP="001B5809">
      <w:pPr>
        <w:pStyle w:val="ListParagraph"/>
        <w:spacing w:after="0" w:line="240" w:lineRule="auto"/>
        <w:ind w:left="690"/>
      </w:pPr>
      <w:r>
        <w:tab/>
      </w:r>
      <w:r>
        <w:tab/>
      </w:r>
      <w:r>
        <w:tab/>
        <w:t>EU predujmove i obveza za financijski leasing koje dospijevaju mjesečno  u tri godine.</w:t>
      </w:r>
    </w:p>
    <w:p w:rsidR="008B5FBC" w:rsidRDefault="008B5FBC" w:rsidP="001B5809">
      <w:pPr>
        <w:pStyle w:val="ListParagraph"/>
        <w:spacing w:after="0" w:line="240" w:lineRule="auto"/>
        <w:ind w:left="690"/>
      </w:pPr>
    </w:p>
    <w:p w:rsidR="008B5FBC" w:rsidRDefault="008B5FBC" w:rsidP="001B5809">
      <w:pPr>
        <w:pStyle w:val="ListParagraph"/>
        <w:spacing w:after="0" w:line="240" w:lineRule="auto"/>
        <w:ind w:left="690"/>
      </w:pPr>
    </w:p>
    <w:p w:rsidR="00C835B2" w:rsidRDefault="008B5FBC" w:rsidP="001B5809">
      <w:pPr>
        <w:pStyle w:val="ListParagraph"/>
        <w:spacing w:after="0" w:line="240" w:lineRule="auto"/>
        <w:ind w:left="690"/>
      </w:pPr>
      <w:r w:rsidRPr="00B668AF">
        <w:rPr>
          <w:b/>
          <w:i/>
        </w:rPr>
        <w:t xml:space="preserve">                            </w:t>
      </w:r>
    </w:p>
    <w:p w:rsidR="009E7FBD" w:rsidRDefault="00DC5A5F" w:rsidP="001B5809">
      <w:pPr>
        <w:pStyle w:val="ListParagraph"/>
        <w:spacing w:after="0" w:line="240" w:lineRule="auto"/>
        <w:ind w:left="690"/>
      </w:pPr>
      <w:r>
        <w:tab/>
      </w:r>
    </w:p>
    <w:p w:rsidR="009E7FBD" w:rsidRDefault="009E7FBD" w:rsidP="009E7FBD">
      <w:pPr>
        <w:spacing w:after="0" w:line="240" w:lineRule="auto"/>
      </w:pPr>
    </w:p>
    <w:p w:rsidR="009E7FBD" w:rsidRDefault="009E7FBD" w:rsidP="009E7FBD">
      <w:pPr>
        <w:spacing w:after="0" w:line="240" w:lineRule="auto"/>
      </w:pPr>
      <w:r>
        <w:t>Zagreb,</w:t>
      </w:r>
      <w:r w:rsidR="002931BD">
        <w:t xml:space="preserve"> </w:t>
      </w:r>
      <w:r w:rsidR="00824CC7">
        <w:t>3</w:t>
      </w:r>
      <w:r w:rsidR="005955A2">
        <w:t>1</w:t>
      </w:r>
      <w:r w:rsidR="00824CC7">
        <w:t>.1.</w:t>
      </w:r>
      <w:r>
        <w:t>201</w:t>
      </w:r>
      <w:r w:rsidR="00612D75">
        <w:t>9.</w:t>
      </w:r>
    </w:p>
    <w:p w:rsidR="005955A2" w:rsidRDefault="005955A2" w:rsidP="009E7FBD">
      <w:pPr>
        <w:spacing w:after="0" w:line="240" w:lineRule="auto"/>
      </w:pPr>
    </w:p>
    <w:p w:rsidR="005955A2" w:rsidRDefault="005955A2" w:rsidP="009E7FBD">
      <w:pPr>
        <w:spacing w:after="0" w:line="240" w:lineRule="auto"/>
      </w:pPr>
    </w:p>
    <w:p w:rsidR="009E7FBD" w:rsidRDefault="009E7FBD" w:rsidP="009E7FBD">
      <w:pPr>
        <w:spacing w:after="0" w:line="240" w:lineRule="auto"/>
      </w:pPr>
    </w:p>
    <w:p w:rsidR="009E7FBD" w:rsidRDefault="009E7FBD" w:rsidP="009E7FBD">
      <w:pPr>
        <w:spacing w:after="0" w:line="240" w:lineRule="auto"/>
      </w:pPr>
      <w:r>
        <w:t>Osoba za kontaktiranje: Ljiljana Svečnjak</w:t>
      </w:r>
      <w:r w:rsidR="0062678F">
        <w:tab/>
      </w:r>
      <w:r w:rsidR="0062678F">
        <w:tab/>
      </w:r>
      <w:r w:rsidR="0062678F">
        <w:tab/>
      </w:r>
      <w:r w:rsidR="0062678F">
        <w:tab/>
        <w:t>Zakonski predstavnik</w:t>
      </w:r>
    </w:p>
    <w:p w:rsidR="009E7FBD" w:rsidRDefault="002931BD" w:rsidP="009E7FBD">
      <w:pPr>
        <w:spacing w:after="0" w:line="240" w:lineRule="auto"/>
      </w:pPr>
      <w:r>
        <w:t>Telefon:</w:t>
      </w:r>
      <w:r>
        <w:tab/>
      </w:r>
      <w:r>
        <w:tab/>
        <w:t>45 66 970</w:t>
      </w:r>
      <w:r w:rsidR="0062678F">
        <w:tab/>
      </w:r>
      <w:r w:rsidR="0062678F">
        <w:tab/>
      </w:r>
      <w:r w:rsidR="0062678F">
        <w:tab/>
      </w:r>
      <w:r w:rsidR="0062678F">
        <w:tab/>
      </w:r>
      <w:r w:rsidR="0062678F">
        <w:tab/>
      </w:r>
      <w:r w:rsidR="005955A2">
        <w:t>prof.dr.sc.</w:t>
      </w:r>
      <w:r w:rsidR="00D276F2">
        <w:t xml:space="preserve"> </w:t>
      </w:r>
      <w:r w:rsidR="005955A2">
        <w:t>Marijan Klarica</w:t>
      </w:r>
    </w:p>
    <w:p w:rsidR="009E7FBD" w:rsidRDefault="0062678F" w:rsidP="009E7FBD">
      <w:pPr>
        <w:spacing w:after="0" w:line="240" w:lineRule="auto"/>
        <w:ind w:left="2124"/>
      </w:pPr>
      <w:r>
        <w:tab/>
      </w:r>
      <w:r>
        <w:tab/>
      </w:r>
      <w:r>
        <w:tab/>
      </w:r>
      <w:r>
        <w:tab/>
        <w:t>MP</w:t>
      </w:r>
    </w:p>
    <w:sectPr w:rsidR="009E7FBD" w:rsidSect="00E2164C">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1B" w:rsidRDefault="0068591B" w:rsidP="00AC46F3">
      <w:pPr>
        <w:spacing w:after="0" w:line="240" w:lineRule="auto"/>
      </w:pPr>
      <w:r>
        <w:separator/>
      </w:r>
    </w:p>
  </w:endnote>
  <w:endnote w:type="continuationSeparator" w:id="0">
    <w:p w:rsidR="0068591B" w:rsidRDefault="0068591B" w:rsidP="00AC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5059"/>
      <w:docPartObj>
        <w:docPartGallery w:val="Page Numbers (Bottom of Page)"/>
        <w:docPartUnique/>
      </w:docPartObj>
    </w:sdtPr>
    <w:sdtEndPr/>
    <w:sdtContent>
      <w:sdt>
        <w:sdtPr>
          <w:id w:val="860082579"/>
          <w:docPartObj>
            <w:docPartGallery w:val="Page Numbers (Top of Page)"/>
            <w:docPartUnique/>
          </w:docPartObj>
        </w:sdtPr>
        <w:sdtEndPr/>
        <w:sdtContent>
          <w:p w:rsidR="00AC46F3" w:rsidRDefault="00AC46F3">
            <w:pPr>
              <w:pStyle w:val="Footer"/>
              <w:jc w:val="right"/>
            </w:pPr>
            <w:r>
              <w:t xml:space="preserve"> </w:t>
            </w:r>
            <w:r>
              <w:rPr>
                <w:b/>
                <w:bCs/>
                <w:sz w:val="24"/>
                <w:szCs w:val="24"/>
              </w:rPr>
              <w:fldChar w:fldCharType="begin"/>
            </w:r>
            <w:r>
              <w:rPr>
                <w:b/>
                <w:bCs/>
              </w:rPr>
              <w:instrText>PAGE</w:instrText>
            </w:r>
            <w:r>
              <w:rPr>
                <w:b/>
                <w:bCs/>
                <w:sz w:val="24"/>
                <w:szCs w:val="24"/>
              </w:rPr>
              <w:fldChar w:fldCharType="separate"/>
            </w:r>
            <w:r w:rsidR="0017074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70740">
              <w:rPr>
                <w:b/>
                <w:bCs/>
                <w:noProof/>
              </w:rPr>
              <w:t>5</w:t>
            </w:r>
            <w:r>
              <w:rPr>
                <w:b/>
                <w:bCs/>
                <w:sz w:val="24"/>
                <w:szCs w:val="24"/>
              </w:rPr>
              <w:fldChar w:fldCharType="end"/>
            </w:r>
          </w:p>
        </w:sdtContent>
      </w:sdt>
    </w:sdtContent>
  </w:sdt>
  <w:p w:rsidR="00AC46F3" w:rsidRDefault="00AC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1B" w:rsidRDefault="0068591B" w:rsidP="00AC46F3">
      <w:pPr>
        <w:spacing w:after="0" w:line="240" w:lineRule="auto"/>
      </w:pPr>
      <w:r>
        <w:separator/>
      </w:r>
    </w:p>
  </w:footnote>
  <w:footnote w:type="continuationSeparator" w:id="0">
    <w:p w:rsidR="0068591B" w:rsidRDefault="0068591B" w:rsidP="00AC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C31"/>
    <w:multiLevelType w:val="hybridMultilevel"/>
    <w:tmpl w:val="605AB1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DF6567"/>
    <w:multiLevelType w:val="hybridMultilevel"/>
    <w:tmpl w:val="4D6CB73E"/>
    <w:lvl w:ilvl="0" w:tplc="37FABBDA">
      <w:start w:val="1"/>
      <w:numFmt w:val="decimal"/>
      <w:lvlText w:val="%1."/>
      <w:lvlJc w:val="left"/>
      <w:pPr>
        <w:ind w:left="510" w:hanging="360"/>
      </w:pPr>
      <w:rPr>
        <w:rFonts w:hint="default"/>
      </w:rPr>
    </w:lvl>
    <w:lvl w:ilvl="1" w:tplc="041A0019">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2">
    <w:nsid w:val="1365427A"/>
    <w:multiLevelType w:val="hybridMultilevel"/>
    <w:tmpl w:val="C28892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3E61F1E"/>
    <w:multiLevelType w:val="hybridMultilevel"/>
    <w:tmpl w:val="95A0A0EE"/>
    <w:lvl w:ilvl="0" w:tplc="22A6AE0C">
      <w:start w:val="1"/>
      <w:numFmt w:val="decimal"/>
      <w:lvlText w:val="%1."/>
      <w:lvlJc w:val="left"/>
      <w:pPr>
        <w:ind w:left="690" w:hanging="360"/>
      </w:pPr>
      <w:rPr>
        <w:rFonts w:hint="default"/>
      </w:rPr>
    </w:lvl>
    <w:lvl w:ilvl="1" w:tplc="041A0019">
      <w:start w:val="1"/>
      <w:numFmt w:val="lowerLetter"/>
      <w:lvlText w:val="%2."/>
      <w:lvlJc w:val="left"/>
      <w:pPr>
        <w:ind w:left="1410" w:hanging="360"/>
      </w:pPr>
    </w:lvl>
    <w:lvl w:ilvl="2" w:tplc="041A001B">
      <w:start w:val="1"/>
      <w:numFmt w:val="lowerRoman"/>
      <w:lvlText w:val="%3."/>
      <w:lvlJc w:val="right"/>
      <w:pPr>
        <w:ind w:left="2130" w:hanging="180"/>
      </w:pPr>
    </w:lvl>
    <w:lvl w:ilvl="3" w:tplc="041A000F">
      <w:start w:val="1"/>
      <w:numFmt w:val="decimal"/>
      <w:lvlText w:val="%4."/>
      <w:lvlJc w:val="left"/>
      <w:pPr>
        <w:ind w:left="2850" w:hanging="360"/>
      </w:pPr>
    </w:lvl>
    <w:lvl w:ilvl="4" w:tplc="041A0019">
      <w:start w:val="1"/>
      <w:numFmt w:val="lowerLetter"/>
      <w:lvlText w:val="%5."/>
      <w:lvlJc w:val="left"/>
      <w:pPr>
        <w:ind w:left="3570" w:hanging="360"/>
      </w:pPr>
    </w:lvl>
    <w:lvl w:ilvl="5" w:tplc="041A001B">
      <w:start w:val="1"/>
      <w:numFmt w:val="lowerRoman"/>
      <w:lvlText w:val="%6."/>
      <w:lvlJc w:val="right"/>
      <w:pPr>
        <w:ind w:left="4290" w:hanging="180"/>
      </w:pPr>
    </w:lvl>
    <w:lvl w:ilvl="6" w:tplc="041A000F">
      <w:start w:val="1"/>
      <w:numFmt w:val="decimal"/>
      <w:lvlText w:val="%7."/>
      <w:lvlJc w:val="left"/>
      <w:pPr>
        <w:ind w:left="5010" w:hanging="360"/>
      </w:pPr>
    </w:lvl>
    <w:lvl w:ilvl="7" w:tplc="041A0019">
      <w:start w:val="1"/>
      <w:numFmt w:val="lowerLetter"/>
      <w:lvlText w:val="%8."/>
      <w:lvlJc w:val="left"/>
      <w:pPr>
        <w:ind w:left="5730" w:hanging="360"/>
      </w:pPr>
    </w:lvl>
    <w:lvl w:ilvl="8" w:tplc="041A001B">
      <w:start w:val="1"/>
      <w:numFmt w:val="lowerRoman"/>
      <w:lvlText w:val="%9."/>
      <w:lvlJc w:val="right"/>
      <w:pPr>
        <w:ind w:left="6450" w:hanging="180"/>
      </w:pPr>
    </w:lvl>
  </w:abstractNum>
  <w:abstractNum w:abstractNumId="4">
    <w:nsid w:val="2B354351"/>
    <w:multiLevelType w:val="hybridMultilevel"/>
    <w:tmpl w:val="A1061080"/>
    <w:lvl w:ilvl="0" w:tplc="37FABBDA">
      <w:start w:val="1"/>
      <w:numFmt w:val="decimal"/>
      <w:lvlText w:val="%1."/>
      <w:lvlJc w:val="left"/>
      <w:pPr>
        <w:ind w:left="510" w:hanging="360"/>
      </w:pPr>
      <w:rPr>
        <w:rFonts w:hint="default"/>
      </w:rPr>
    </w:lvl>
    <w:lvl w:ilvl="1" w:tplc="041A0019">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5">
    <w:nsid w:val="2DA95AE0"/>
    <w:multiLevelType w:val="hybridMultilevel"/>
    <w:tmpl w:val="6DAE2FFC"/>
    <w:lvl w:ilvl="0" w:tplc="A52AE70C">
      <w:start w:val="2"/>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6">
    <w:nsid w:val="560136F7"/>
    <w:multiLevelType w:val="hybridMultilevel"/>
    <w:tmpl w:val="969C4CF4"/>
    <w:lvl w:ilvl="0" w:tplc="8F10C1C0">
      <w:start w:val="1"/>
      <w:numFmt w:val="decimal"/>
      <w:lvlText w:val="%1."/>
      <w:lvlJc w:val="left"/>
      <w:pPr>
        <w:ind w:left="495" w:hanging="360"/>
      </w:pPr>
      <w:rPr>
        <w:rFonts w:hint="default"/>
      </w:rPr>
    </w:lvl>
    <w:lvl w:ilvl="1" w:tplc="041A0019">
      <w:start w:val="1"/>
      <w:numFmt w:val="lowerLetter"/>
      <w:lvlText w:val="%2."/>
      <w:lvlJc w:val="left"/>
      <w:pPr>
        <w:ind w:left="1215" w:hanging="360"/>
      </w:pPr>
    </w:lvl>
    <w:lvl w:ilvl="2" w:tplc="041A001B">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7">
    <w:nsid w:val="57423B29"/>
    <w:multiLevelType w:val="hybridMultilevel"/>
    <w:tmpl w:val="12C68068"/>
    <w:lvl w:ilvl="0" w:tplc="83FE2502">
      <w:start w:val="2"/>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8">
    <w:nsid w:val="593814D7"/>
    <w:multiLevelType w:val="hybridMultilevel"/>
    <w:tmpl w:val="788E39E6"/>
    <w:lvl w:ilvl="0" w:tplc="041A000F">
      <w:start w:val="1"/>
      <w:numFmt w:val="decimal"/>
      <w:lvlText w:val="%1."/>
      <w:lvlJc w:val="left"/>
      <w:pPr>
        <w:ind w:left="1230" w:hanging="360"/>
      </w:p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9">
    <w:nsid w:val="5A4A06A4"/>
    <w:multiLevelType w:val="hybridMultilevel"/>
    <w:tmpl w:val="7A4AD106"/>
    <w:lvl w:ilvl="0" w:tplc="041A000F">
      <w:start w:val="1"/>
      <w:numFmt w:val="decimal"/>
      <w:lvlText w:val="%1."/>
      <w:lvlJc w:val="left"/>
      <w:pPr>
        <w:ind w:left="502"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DDC1D4A"/>
    <w:multiLevelType w:val="hybridMultilevel"/>
    <w:tmpl w:val="E8361C1A"/>
    <w:lvl w:ilvl="0" w:tplc="775C83E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1">
    <w:nsid w:val="671257DC"/>
    <w:multiLevelType w:val="hybridMultilevel"/>
    <w:tmpl w:val="11787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2E3F2A"/>
    <w:multiLevelType w:val="hybridMultilevel"/>
    <w:tmpl w:val="EFB2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9202E3"/>
    <w:multiLevelType w:val="hybridMultilevel"/>
    <w:tmpl w:val="6F663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04545E7"/>
    <w:multiLevelType w:val="hybridMultilevel"/>
    <w:tmpl w:val="7A4AD106"/>
    <w:lvl w:ilvl="0" w:tplc="041A000F">
      <w:start w:val="1"/>
      <w:numFmt w:val="decimal"/>
      <w:lvlText w:val="%1."/>
      <w:lvlJc w:val="left"/>
      <w:pPr>
        <w:ind w:left="502"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4C1A4B"/>
    <w:multiLevelType w:val="hybridMultilevel"/>
    <w:tmpl w:val="BF48B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217A58"/>
    <w:multiLevelType w:val="hybridMultilevel"/>
    <w:tmpl w:val="4D647DAA"/>
    <w:lvl w:ilvl="0" w:tplc="37FABBDA">
      <w:start w:val="1"/>
      <w:numFmt w:val="decimal"/>
      <w:lvlText w:val="%1."/>
      <w:lvlJc w:val="left"/>
      <w:pPr>
        <w:ind w:left="510" w:hanging="360"/>
      </w:pPr>
      <w:rPr>
        <w:rFonts w:hint="default"/>
      </w:rPr>
    </w:lvl>
    <w:lvl w:ilvl="1" w:tplc="041A0019">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7">
    <w:nsid w:val="7E6945BC"/>
    <w:multiLevelType w:val="hybridMultilevel"/>
    <w:tmpl w:val="F0A0EFD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1"/>
  </w:num>
  <w:num w:numId="5">
    <w:abstractNumId w:val="13"/>
  </w:num>
  <w:num w:numId="6">
    <w:abstractNumId w:val="12"/>
  </w:num>
  <w:num w:numId="7">
    <w:abstractNumId w:val="17"/>
  </w:num>
  <w:num w:numId="8">
    <w:abstractNumId w:val="14"/>
  </w:num>
  <w:num w:numId="9">
    <w:abstractNumId w:val="7"/>
  </w:num>
  <w:num w:numId="10">
    <w:abstractNumId w:val="3"/>
  </w:num>
  <w:num w:numId="11">
    <w:abstractNumId w:val="15"/>
  </w:num>
  <w:num w:numId="12">
    <w:abstractNumId w:val="4"/>
  </w:num>
  <w:num w:numId="13">
    <w:abstractNumId w:val="1"/>
  </w:num>
  <w:num w:numId="14">
    <w:abstractNumId w:val="5"/>
  </w:num>
  <w:num w:numId="15">
    <w:abstractNumId w:val="10"/>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D6"/>
    <w:rsid w:val="00006F34"/>
    <w:rsid w:val="00006FD0"/>
    <w:rsid w:val="00021AA1"/>
    <w:rsid w:val="00026220"/>
    <w:rsid w:val="00031FEA"/>
    <w:rsid w:val="0004250F"/>
    <w:rsid w:val="000611DD"/>
    <w:rsid w:val="00064C19"/>
    <w:rsid w:val="00083CA4"/>
    <w:rsid w:val="00097736"/>
    <w:rsid w:val="000A5856"/>
    <w:rsid w:val="000B22AC"/>
    <w:rsid w:val="000D721E"/>
    <w:rsid w:val="000E7C70"/>
    <w:rsid w:val="001101C5"/>
    <w:rsid w:val="00113E31"/>
    <w:rsid w:val="00116D67"/>
    <w:rsid w:val="00117E99"/>
    <w:rsid w:val="001464D2"/>
    <w:rsid w:val="0014790D"/>
    <w:rsid w:val="00152B0D"/>
    <w:rsid w:val="00153983"/>
    <w:rsid w:val="001554D8"/>
    <w:rsid w:val="00170740"/>
    <w:rsid w:val="001B5809"/>
    <w:rsid w:val="002149FB"/>
    <w:rsid w:val="00235BC4"/>
    <w:rsid w:val="00246439"/>
    <w:rsid w:val="00284BBA"/>
    <w:rsid w:val="002931BD"/>
    <w:rsid w:val="00294D3A"/>
    <w:rsid w:val="002A06A2"/>
    <w:rsid w:val="002B3E4B"/>
    <w:rsid w:val="002B4FC3"/>
    <w:rsid w:val="002C1360"/>
    <w:rsid w:val="002F3BDD"/>
    <w:rsid w:val="00313AB0"/>
    <w:rsid w:val="003252CB"/>
    <w:rsid w:val="00334742"/>
    <w:rsid w:val="00351402"/>
    <w:rsid w:val="0039524D"/>
    <w:rsid w:val="003955EC"/>
    <w:rsid w:val="003957E8"/>
    <w:rsid w:val="003D7064"/>
    <w:rsid w:val="003F21FF"/>
    <w:rsid w:val="00435D93"/>
    <w:rsid w:val="00441570"/>
    <w:rsid w:val="0045720B"/>
    <w:rsid w:val="00462FE9"/>
    <w:rsid w:val="004971D6"/>
    <w:rsid w:val="004C494C"/>
    <w:rsid w:val="004C6E3E"/>
    <w:rsid w:val="004D7073"/>
    <w:rsid w:val="00533AD9"/>
    <w:rsid w:val="00546766"/>
    <w:rsid w:val="005506F6"/>
    <w:rsid w:val="005526C0"/>
    <w:rsid w:val="005549E1"/>
    <w:rsid w:val="00564215"/>
    <w:rsid w:val="00593206"/>
    <w:rsid w:val="00594B38"/>
    <w:rsid w:val="005955A2"/>
    <w:rsid w:val="005D69C7"/>
    <w:rsid w:val="005E08F2"/>
    <w:rsid w:val="006008F0"/>
    <w:rsid w:val="00610C7F"/>
    <w:rsid w:val="00612D75"/>
    <w:rsid w:val="0062678F"/>
    <w:rsid w:val="00631CDA"/>
    <w:rsid w:val="00635656"/>
    <w:rsid w:val="0064348C"/>
    <w:rsid w:val="00650EE4"/>
    <w:rsid w:val="00671D8E"/>
    <w:rsid w:val="0067405F"/>
    <w:rsid w:val="0068591B"/>
    <w:rsid w:val="00686143"/>
    <w:rsid w:val="006B2A03"/>
    <w:rsid w:val="006C5529"/>
    <w:rsid w:val="006C6122"/>
    <w:rsid w:val="006D7FD9"/>
    <w:rsid w:val="0072649D"/>
    <w:rsid w:val="00736664"/>
    <w:rsid w:val="007746CF"/>
    <w:rsid w:val="00783C59"/>
    <w:rsid w:val="007A09D6"/>
    <w:rsid w:val="007A3EE1"/>
    <w:rsid w:val="007D75BE"/>
    <w:rsid w:val="00815D5D"/>
    <w:rsid w:val="0081699D"/>
    <w:rsid w:val="00816E16"/>
    <w:rsid w:val="00824CC7"/>
    <w:rsid w:val="0083002F"/>
    <w:rsid w:val="008319E3"/>
    <w:rsid w:val="00863739"/>
    <w:rsid w:val="00873617"/>
    <w:rsid w:val="0087776C"/>
    <w:rsid w:val="008864AB"/>
    <w:rsid w:val="008921C7"/>
    <w:rsid w:val="008B5FBC"/>
    <w:rsid w:val="008C48A0"/>
    <w:rsid w:val="008C4B2A"/>
    <w:rsid w:val="008E79BF"/>
    <w:rsid w:val="00910E87"/>
    <w:rsid w:val="0092564A"/>
    <w:rsid w:val="00936552"/>
    <w:rsid w:val="00956D66"/>
    <w:rsid w:val="00957E0D"/>
    <w:rsid w:val="0096406C"/>
    <w:rsid w:val="00971664"/>
    <w:rsid w:val="00992067"/>
    <w:rsid w:val="009B29D8"/>
    <w:rsid w:val="009E7FBD"/>
    <w:rsid w:val="009F68D6"/>
    <w:rsid w:val="009F797D"/>
    <w:rsid w:val="00A11890"/>
    <w:rsid w:val="00A22799"/>
    <w:rsid w:val="00A9035E"/>
    <w:rsid w:val="00AA089E"/>
    <w:rsid w:val="00AA43C1"/>
    <w:rsid w:val="00AC24BE"/>
    <w:rsid w:val="00AC46F3"/>
    <w:rsid w:val="00AC7F0D"/>
    <w:rsid w:val="00B0564D"/>
    <w:rsid w:val="00B23B1F"/>
    <w:rsid w:val="00B34651"/>
    <w:rsid w:val="00B440AB"/>
    <w:rsid w:val="00B45313"/>
    <w:rsid w:val="00B5769A"/>
    <w:rsid w:val="00B668AF"/>
    <w:rsid w:val="00B83DEB"/>
    <w:rsid w:val="00B94AA0"/>
    <w:rsid w:val="00BF6454"/>
    <w:rsid w:val="00C0568A"/>
    <w:rsid w:val="00C404D1"/>
    <w:rsid w:val="00C463F0"/>
    <w:rsid w:val="00C46C1E"/>
    <w:rsid w:val="00C56265"/>
    <w:rsid w:val="00C67F86"/>
    <w:rsid w:val="00C7307A"/>
    <w:rsid w:val="00C835B2"/>
    <w:rsid w:val="00CA4E40"/>
    <w:rsid w:val="00D049A7"/>
    <w:rsid w:val="00D10F24"/>
    <w:rsid w:val="00D276F2"/>
    <w:rsid w:val="00D819F3"/>
    <w:rsid w:val="00D819FD"/>
    <w:rsid w:val="00DA16AB"/>
    <w:rsid w:val="00DC5A5F"/>
    <w:rsid w:val="00DE3FAA"/>
    <w:rsid w:val="00DF3050"/>
    <w:rsid w:val="00DF70FA"/>
    <w:rsid w:val="00E0075F"/>
    <w:rsid w:val="00E120DD"/>
    <w:rsid w:val="00E12EB5"/>
    <w:rsid w:val="00E2164C"/>
    <w:rsid w:val="00E35677"/>
    <w:rsid w:val="00E50DD2"/>
    <w:rsid w:val="00E673C2"/>
    <w:rsid w:val="00E762F0"/>
    <w:rsid w:val="00E80E37"/>
    <w:rsid w:val="00E9566F"/>
    <w:rsid w:val="00E978C2"/>
    <w:rsid w:val="00EB7198"/>
    <w:rsid w:val="00EE137C"/>
    <w:rsid w:val="00EE147C"/>
    <w:rsid w:val="00EF699B"/>
    <w:rsid w:val="00F65F88"/>
    <w:rsid w:val="00F91FC3"/>
    <w:rsid w:val="00FA4A98"/>
    <w:rsid w:val="00FB7758"/>
    <w:rsid w:val="00FE1E7A"/>
    <w:rsid w:val="00FE762B"/>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DA"/>
    <w:pPr>
      <w:ind w:left="720"/>
      <w:contextualSpacing/>
    </w:pPr>
  </w:style>
  <w:style w:type="paragraph" w:styleId="BalloonText">
    <w:name w:val="Balloon Text"/>
    <w:basedOn w:val="Normal"/>
    <w:link w:val="BalloonTextChar"/>
    <w:uiPriority w:val="99"/>
    <w:semiHidden/>
    <w:unhideWhenUsed/>
    <w:rsid w:val="00C7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07A"/>
    <w:rPr>
      <w:rFonts w:ascii="Tahoma" w:hAnsi="Tahoma" w:cs="Tahoma"/>
      <w:sz w:val="16"/>
      <w:szCs w:val="16"/>
    </w:rPr>
  </w:style>
  <w:style w:type="table" w:styleId="TableGrid">
    <w:name w:val="Table Grid"/>
    <w:basedOn w:val="TableNormal"/>
    <w:uiPriority w:val="59"/>
    <w:rsid w:val="008B5FBC"/>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F3"/>
  </w:style>
  <w:style w:type="paragraph" w:styleId="Footer">
    <w:name w:val="footer"/>
    <w:basedOn w:val="Normal"/>
    <w:link w:val="FooterChar"/>
    <w:uiPriority w:val="99"/>
    <w:unhideWhenUsed/>
    <w:rsid w:val="00AC4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DA"/>
    <w:pPr>
      <w:ind w:left="720"/>
      <w:contextualSpacing/>
    </w:pPr>
  </w:style>
  <w:style w:type="paragraph" w:styleId="BalloonText">
    <w:name w:val="Balloon Text"/>
    <w:basedOn w:val="Normal"/>
    <w:link w:val="BalloonTextChar"/>
    <w:uiPriority w:val="99"/>
    <w:semiHidden/>
    <w:unhideWhenUsed/>
    <w:rsid w:val="00C7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07A"/>
    <w:rPr>
      <w:rFonts w:ascii="Tahoma" w:hAnsi="Tahoma" w:cs="Tahoma"/>
      <w:sz w:val="16"/>
      <w:szCs w:val="16"/>
    </w:rPr>
  </w:style>
  <w:style w:type="table" w:styleId="TableGrid">
    <w:name w:val="Table Grid"/>
    <w:basedOn w:val="TableNormal"/>
    <w:uiPriority w:val="59"/>
    <w:rsid w:val="008B5FBC"/>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6F3"/>
  </w:style>
  <w:style w:type="paragraph" w:styleId="Footer">
    <w:name w:val="footer"/>
    <w:basedOn w:val="Normal"/>
    <w:link w:val="FooterChar"/>
    <w:uiPriority w:val="99"/>
    <w:unhideWhenUsed/>
    <w:rsid w:val="00AC4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2C39-4EFA-41CA-8FD9-DB231485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ljiljana.svecnjak</dc:creator>
  <cp:lastModifiedBy>Marina Crnjac</cp:lastModifiedBy>
  <cp:revision>2</cp:revision>
  <cp:lastPrinted>2018-01-31T10:27:00Z</cp:lastPrinted>
  <dcterms:created xsi:type="dcterms:W3CDTF">2019-02-07T08:24:00Z</dcterms:created>
  <dcterms:modified xsi:type="dcterms:W3CDTF">2019-02-07T08:24:00Z</dcterms:modified>
</cp:coreProperties>
</file>